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5" w:lineRule="auto"/>
        <w:ind w:left="99" w:right="40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Taylor Burgoon 5017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10524" y="763308"/>
                            <a:ext cx="129921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TAYLOR BURGOON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602.916.5411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602.916.5611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tburgoon@fennemorelaw.com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85638" y="3756030"/>
                            <a:ext cx="291655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don't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know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short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cuts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doing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good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job.</w:t>
                              </w:r>
                            </w:p>
                            <w:p>
                              <w:pPr>
                                <w:spacing w:before="89"/>
                                <w:ind w:left="2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-Sandra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Day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O'Connor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548446"/>
                            <a:ext cx="140462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TAYLOR</w:t>
                              </w:r>
                              <w:r>
                                <w:rPr>
                                  <w:b/>
                                  <w:color w:val="002E6B"/>
                                  <w:spacing w:val="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BURGOON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Taylor Burgoon 5017website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94;top:-6403;width:2046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TAYLOR BURGOON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245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602.916.5411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602.916.5611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tburgoon@fennemorelaw.com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833;top:-1690;width:4593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don't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know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any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short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cuts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doing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good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job.</w:t>
                        </w:r>
                      </w:p>
                      <w:p>
                        <w:pPr>
                          <w:spacing w:before="89"/>
                          <w:ind w:left="2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-Sandra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Day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O'Connor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212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TAYLOR</w:t>
                        </w:r>
                        <w:r>
                          <w:rPr>
                            <w:b/>
                            <w:color w:val="002E6B"/>
                            <w:spacing w:val="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BURGOON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Taylor Burgoon is a business litigation attorney focusing on complex business disputes primarily in</w:t>
      </w:r>
      <w:r>
        <w:rPr>
          <w:color w:val="6E6158"/>
          <w:spacing w:val="40"/>
        </w:rPr>
        <w:t> </w:t>
      </w:r>
      <w:r>
        <w:rPr>
          <w:color w:val="6E6158"/>
        </w:rPr>
        <w:t>Arizona and the greater Southwest. Taylor’s practice encompasses litigation and appeals in a</w:t>
      </w:r>
      <w:r>
        <w:rPr>
          <w:color w:val="6E6158"/>
          <w:spacing w:val="40"/>
        </w:rPr>
        <w:t> </w:t>
      </w:r>
      <w:r>
        <w:rPr>
          <w:color w:val="6E6158"/>
        </w:rPr>
        <w:t>broad range of areas, including representing government entities, businesses, and business</w:t>
      </w:r>
      <w:r>
        <w:rPr>
          <w:color w:val="6E6158"/>
          <w:spacing w:val="40"/>
        </w:rPr>
        <w:t> </w:t>
      </w:r>
      <w:r>
        <w:rPr>
          <w:color w:val="6E6158"/>
        </w:rPr>
        <w:t>owners in breach of contract disputes, high-risk tort defense, real property disputes, and email</w:t>
      </w:r>
      <w:r>
        <w:rPr>
          <w:color w:val="6E6158"/>
          <w:spacing w:val="40"/>
        </w:rPr>
        <w:t> </w:t>
      </w:r>
      <w:r>
        <w:rPr>
          <w:color w:val="6E6158"/>
        </w:rPr>
        <w:t>wire fraud scams, among others.</w:t>
      </w:r>
    </w:p>
    <w:p>
      <w:pPr>
        <w:pStyle w:val="BodyText"/>
        <w:spacing w:line="292" w:lineRule="auto" w:before="203"/>
        <w:ind w:left="99" w:right="404"/>
      </w:pPr>
      <w:r>
        <w:rPr>
          <w:color w:val="6E6158"/>
        </w:rPr>
        <w:t>Taylor’s competitive spirit, dedication, and honed legal skills have resulted in an impressive track</w:t>
      </w:r>
      <w:r>
        <w:rPr>
          <w:color w:val="6E6158"/>
          <w:spacing w:val="40"/>
        </w:rPr>
        <w:t> </w:t>
      </w:r>
      <w:r>
        <w:rPr>
          <w:color w:val="6E6158"/>
        </w:rPr>
        <w:t>record of winning cases through early motion practice and at trial. She has a passion for</w:t>
      </w:r>
      <w:r>
        <w:rPr>
          <w:color w:val="6E6158"/>
          <w:spacing w:val="40"/>
        </w:rPr>
        <w:t> </w:t>
      </w:r>
      <w:r>
        <w:rPr>
          <w:color w:val="6E6158"/>
        </w:rPr>
        <w:t>advocating and supporting her clients, and she enjoys the intellectual requirements of a</w:t>
      </w:r>
      <w:r>
        <w:rPr>
          <w:color w:val="6E6158"/>
          <w:spacing w:val="40"/>
        </w:rPr>
        <w:t> </w:t>
      </w:r>
      <w:r>
        <w:rPr>
          <w:color w:val="6E6158"/>
        </w:rPr>
        <w:t>successful</w:t>
      </w:r>
      <w:r>
        <w:rPr>
          <w:color w:val="6E6158"/>
          <w:spacing w:val="28"/>
        </w:rPr>
        <w:t> </w:t>
      </w:r>
      <w:r>
        <w:rPr>
          <w:color w:val="6E6158"/>
        </w:rPr>
        <w:t>litigator</w:t>
      </w:r>
      <w:r>
        <w:rPr>
          <w:color w:val="6E6158"/>
          <w:spacing w:val="28"/>
        </w:rPr>
        <w:t> </w:t>
      </w:r>
      <w:r>
        <w:rPr>
          <w:color w:val="6E6158"/>
        </w:rPr>
        <w:t>–</w:t>
      </w:r>
      <w:r>
        <w:rPr>
          <w:color w:val="6E6158"/>
          <w:spacing w:val="28"/>
        </w:rPr>
        <w:t> </w:t>
      </w:r>
      <w:r>
        <w:rPr>
          <w:color w:val="6E6158"/>
        </w:rPr>
        <w:t>tirelessly</w:t>
      </w:r>
      <w:r>
        <w:rPr>
          <w:color w:val="6E6158"/>
          <w:spacing w:val="28"/>
        </w:rPr>
        <w:t> </w:t>
      </w:r>
      <w:r>
        <w:rPr>
          <w:color w:val="6E6158"/>
        </w:rPr>
        <w:t>working</w:t>
      </w:r>
      <w:r>
        <w:rPr>
          <w:color w:val="6E6158"/>
          <w:spacing w:val="28"/>
        </w:rPr>
        <w:t> </w:t>
      </w:r>
      <w:r>
        <w:rPr>
          <w:color w:val="6E6158"/>
        </w:rPr>
        <w:t>on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legal</w:t>
      </w:r>
      <w:r>
        <w:rPr>
          <w:color w:val="6E6158"/>
          <w:spacing w:val="28"/>
        </w:rPr>
        <w:t> </w:t>
      </w:r>
      <w:r>
        <w:rPr>
          <w:color w:val="6E6158"/>
        </w:rPr>
        <w:t>reasoning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analysis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case.</w:t>
      </w:r>
    </w:p>
    <w:p>
      <w:pPr>
        <w:pStyle w:val="BodyText"/>
        <w:spacing w:line="292" w:lineRule="auto" w:before="206"/>
        <w:ind w:left="99" w:right="404"/>
      </w:pPr>
      <w:r>
        <w:rPr>
          <w:color w:val="6E6158"/>
        </w:rPr>
        <w:t>Taylor has earned recognition in Best Lawyers in America®, Ones to Watch from 2022 to 2026 and was named a Southwest Rising Star from 2022 to 2024. In 2025, AZ Business Magazine</w:t>
      </w:r>
      <w:r>
        <w:rPr>
          <w:color w:val="6E6158"/>
          <w:spacing w:val="40"/>
        </w:rPr>
        <w:t> </w:t>
      </w:r>
      <w:r>
        <w:rPr>
          <w:color w:val="6E6158"/>
        </w:rPr>
        <w:t>recognized her as one of the 50 Rising Stars in Law. In 2026, Taylor was featured in AZ Business</w:t>
      </w:r>
      <w:r>
        <w:rPr>
          <w:color w:val="6E6158"/>
          <w:spacing w:val="40"/>
        </w:rPr>
        <w:t> </w:t>
      </w:r>
      <w:r>
        <w:rPr>
          <w:color w:val="6E6158"/>
        </w:rPr>
        <w:t>Leaders magazine as an Emerging Leader in law.</w:t>
      </w:r>
    </w:p>
    <w:p>
      <w:pPr>
        <w:pStyle w:val="BodyText"/>
        <w:spacing w:before="206"/>
        <w:ind w:left="99"/>
      </w:pPr>
      <w:r>
        <w:rPr>
          <w:color w:val="6E6158"/>
        </w:rPr>
        <w:t>As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proud</w:t>
      </w:r>
      <w:r>
        <w:rPr>
          <w:color w:val="6E6158"/>
          <w:spacing w:val="9"/>
        </w:rPr>
        <w:t> </w:t>
      </w:r>
      <w:r>
        <w:rPr>
          <w:color w:val="6E6158"/>
        </w:rPr>
        <w:t>member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Fiesta</w:t>
      </w:r>
      <w:r>
        <w:rPr>
          <w:color w:val="6E6158"/>
          <w:spacing w:val="9"/>
        </w:rPr>
        <w:t> </w:t>
      </w:r>
      <w:r>
        <w:rPr>
          <w:color w:val="6E6158"/>
        </w:rPr>
        <w:t>Bowl</w:t>
      </w:r>
      <w:r>
        <w:rPr>
          <w:color w:val="6E6158"/>
          <w:spacing w:val="9"/>
        </w:rPr>
        <w:t> </w:t>
      </w:r>
      <w:r>
        <w:rPr>
          <w:color w:val="6E6158"/>
        </w:rPr>
        <w:t>Yellow</w:t>
      </w:r>
      <w:r>
        <w:rPr>
          <w:color w:val="6E6158"/>
          <w:spacing w:val="9"/>
        </w:rPr>
        <w:t> </w:t>
      </w:r>
      <w:r>
        <w:rPr>
          <w:color w:val="6E6158"/>
        </w:rPr>
        <w:t>Jacket</w:t>
      </w:r>
      <w:r>
        <w:rPr>
          <w:color w:val="6E6158"/>
          <w:spacing w:val="9"/>
        </w:rPr>
        <w:t> </w:t>
      </w:r>
      <w:r>
        <w:rPr>
          <w:color w:val="6E6158"/>
        </w:rPr>
        <w:t>Committee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TGen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Ambassador</w:t>
      </w:r>
    </w:p>
    <w:p>
      <w:pPr>
        <w:pStyle w:val="BodyText"/>
        <w:spacing w:line="292" w:lineRule="auto" w:before="52"/>
        <w:ind w:left="99" w:right="124"/>
      </w:pPr>
      <w:r>
        <w:rPr>
          <w:color w:val="6E6158"/>
        </w:rPr>
        <w:t>program, Taylor is committed to giving back and making a difference in the Phoenix community.</w:t>
      </w:r>
      <w:r>
        <w:rPr>
          <w:color w:val="6E6158"/>
          <w:spacing w:val="40"/>
        </w:rPr>
        <w:t> </w:t>
      </w:r>
      <w:r>
        <w:rPr>
          <w:color w:val="6E6158"/>
        </w:rPr>
        <w:t>Outside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her</w:t>
      </w:r>
      <w:r>
        <w:rPr>
          <w:color w:val="6E6158"/>
          <w:spacing w:val="25"/>
        </w:rPr>
        <w:t> </w:t>
      </w:r>
      <w:r>
        <w:rPr>
          <w:color w:val="6E6158"/>
        </w:rPr>
        <w:t>work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business</w:t>
      </w:r>
      <w:r>
        <w:rPr>
          <w:color w:val="6E6158"/>
          <w:spacing w:val="25"/>
        </w:rPr>
        <w:t> </w:t>
      </w:r>
      <w:r>
        <w:rPr>
          <w:color w:val="6E6158"/>
        </w:rPr>
        <w:t>litigator,</w:t>
      </w:r>
      <w:r>
        <w:rPr>
          <w:color w:val="6E6158"/>
          <w:spacing w:val="25"/>
        </w:rPr>
        <w:t> </w:t>
      </w:r>
      <w:r>
        <w:rPr>
          <w:color w:val="6E6158"/>
        </w:rPr>
        <w:t>she</w:t>
      </w:r>
      <w:r>
        <w:rPr>
          <w:color w:val="6E6158"/>
          <w:spacing w:val="25"/>
        </w:rPr>
        <w:t> </w:t>
      </w:r>
      <w:r>
        <w:rPr>
          <w:color w:val="6E6158"/>
        </w:rPr>
        <w:t>recharges</w:t>
      </w:r>
      <w:r>
        <w:rPr>
          <w:color w:val="6E6158"/>
          <w:spacing w:val="25"/>
        </w:rPr>
        <w:t> </w:t>
      </w:r>
      <w:r>
        <w:rPr>
          <w:color w:val="6E6158"/>
        </w:rPr>
        <w:t>her</w:t>
      </w:r>
      <w:r>
        <w:rPr>
          <w:color w:val="6E6158"/>
          <w:spacing w:val="25"/>
        </w:rPr>
        <w:t> </w:t>
      </w:r>
      <w:r>
        <w:rPr>
          <w:color w:val="6E6158"/>
        </w:rPr>
        <w:t>batteries</w:t>
      </w:r>
      <w:r>
        <w:rPr>
          <w:color w:val="6E6158"/>
          <w:spacing w:val="25"/>
        </w:rPr>
        <w:t> </w:t>
      </w:r>
      <w:r>
        <w:rPr>
          <w:color w:val="6E6158"/>
        </w:rPr>
        <w:t>through</w:t>
      </w:r>
      <w:r>
        <w:rPr>
          <w:color w:val="6E6158"/>
          <w:spacing w:val="25"/>
        </w:rPr>
        <w:t> </w:t>
      </w:r>
      <w:r>
        <w:rPr>
          <w:color w:val="6E6158"/>
        </w:rPr>
        <w:t>music,</w:t>
      </w:r>
      <w:r>
        <w:rPr>
          <w:color w:val="6E6158"/>
          <w:spacing w:val="25"/>
        </w:rPr>
        <w:t> </w:t>
      </w:r>
      <w:r>
        <w:rPr>
          <w:color w:val="6E6158"/>
        </w:rPr>
        <w:t>yoga,</w:t>
      </w:r>
    </w:p>
    <w:p>
      <w:pPr>
        <w:pStyle w:val="BodyText"/>
        <w:spacing w:before="9"/>
        <w:ind w:left="99"/>
      </w:pPr>
      <w:r>
        <w:rPr>
          <w:color w:val="6E6158"/>
        </w:rPr>
        <w:t>hiking,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traveling.</w:t>
      </w:r>
    </w:p>
    <w:p>
      <w:pPr>
        <w:pStyle w:val="Heading2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288" w:lineRule="auto" w:before="1"/>
        <w:ind w:left="99" w:right="404"/>
      </w:pPr>
      <w:r>
        <w:rPr>
          <w:color w:val="6E6158"/>
        </w:rPr>
        <w:t>J.D., Arizona State University, Sandra Day O’Connor College of Law, </w:t>
      </w:r>
      <w:r>
        <w:rPr>
          <w:i/>
          <w:color w:val="6E6158"/>
          <w:sz w:val="20"/>
        </w:rPr>
        <w:t>magna cum laude </w:t>
      </w:r>
      <w:r>
        <w:rPr>
          <w:color w:val="6E6158"/>
        </w:rPr>
        <w:t>and</w:t>
      </w:r>
      <w:r>
        <w:rPr>
          <w:color w:val="6E6158"/>
        </w:rPr>
        <w:t> Order of the Coif</w:t>
      </w:r>
    </w:p>
    <w:p>
      <w:pPr>
        <w:pStyle w:val="BodyText"/>
        <w:spacing w:after="0" w:line="288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Michigan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line="417" w:lineRule="auto" w:before="164"/>
        <w:ind w:left="99" w:right="1932"/>
      </w:pPr>
      <w:r>
        <w:rPr>
          <w:color w:val="6E6158"/>
        </w:rPr>
        <w:t>Executive Note &amp; Comment Editor, </w:t>
      </w:r>
      <w:r>
        <w:rPr>
          <w:i/>
          <w:color w:val="6E6158"/>
          <w:sz w:val="20"/>
        </w:rPr>
        <w:t>Arizona State Law Journal</w:t>
      </w:r>
      <w:r>
        <w:rPr>
          <w:color w:val="6E6158"/>
        </w:rPr>
        <w:t>, 2016-2017 Justice Sandra Day O’Connor Award for Excellence in Constitutional </w:t>
      </w:r>
      <w:r>
        <w:rPr>
          <w:color w:val="6E6158"/>
        </w:rPr>
        <w:t>Law William H. Pedrick Scholar</w:t>
      </w:r>
    </w:p>
    <w:p>
      <w:pPr>
        <w:pStyle w:val="BodyText"/>
        <w:spacing w:before="2"/>
        <w:ind w:left="99"/>
      </w:pPr>
      <w:r>
        <w:rPr>
          <w:color w:val="6E6158"/>
        </w:rPr>
        <w:t>Rebecca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Michael</w:t>
      </w:r>
      <w:r>
        <w:rPr>
          <w:color w:val="6E6158"/>
          <w:spacing w:val="13"/>
        </w:rPr>
        <w:t> </w:t>
      </w:r>
      <w:r>
        <w:rPr>
          <w:color w:val="6E6158"/>
        </w:rPr>
        <w:t>Berch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Scholar</w:t>
      </w:r>
    </w:p>
    <w:p>
      <w:pPr>
        <w:pStyle w:val="BodyText"/>
        <w:spacing w:before="162"/>
        <w:rPr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rPr>
          <w:b/>
        </w:rPr>
      </w:pPr>
    </w:p>
    <w:p>
      <w:pPr>
        <w:pStyle w:val="BodyText"/>
        <w:spacing w:line="422" w:lineRule="auto"/>
        <w:ind w:left="99" w:right="7806"/>
      </w:pPr>
      <w:r>
        <w:rPr>
          <w:color w:val="6E6158"/>
          <w:spacing w:val="-2"/>
        </w:rPr>
        <w:t>Appeals </w:t>
      </w:r>
      <w:r>
        <w:rPr>
          <w:color w:val="6E6158"/>
        </w:rPr>
        <w:t>Business</w:t>
      </w:r>
      <w:r>
        <w:rPr>
          <w:color w:val="6E6158"/>
          <w:spacing w:val="-14"/>
        </w:rPr>
        <w:t> </w:t>
      </w:r>
      <w:r>
        <w:rPr>
          <w:color w:val="6E6158"/>
        </w:rPr>
        <w:t>Torts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21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Heading3"/>
        <w:spacing w:before="147"/>
      </w:pPr>
      <w:r>
        <w:rPr>
          <w:color w:val="6E6158"/>
        </w:rPr>
        <w:t>Appellate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Work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92" w:lineRule="auto"/>
        <w:ind w:left="99" w:right="132"/>
      </w:pPr>
      <w:hyperlink r:id="rId11">
        <w:r>
          <w:rPr>
            <w:color w:val="F5821F"/>
          </w:rPr>
          <w:t>Served as legal counsel to the City of Chandler in</w:t>
        </w:r>
      </w:hyperlink>
      <w:r>
        <w:rPr>
          <w:color w:val="F5821F"/>
        </w:rPr>
        <w:t> </w:t>
      </w:r>
      <w:hyperlink r:id="rId11">
        <w:r>
          <w:rPr>
            <w:i/>
            <w:color w:val="F5821F"/>
            <w:sz w:val="20"/>
          </w:rPr>
          <w:t>City of Chandler v. Roosevelt Water</w:t>
        </w:r>
      </w:hyperlink>
      <w:r>
        <w:rPr>
          <w:i/>
          <w:color w:val="F5821F"/>
          <w:sz w:val="20"/>
        </w:rPr>
        <w:t> </w:t>
      </w:r>
      <w:hyperlink r:id="rId11">
        <w:r>
          <w:rPr>
            <w:i/>
            <w:color w:val="F5821F"/>
            <w:sz w:val="20"/>
          </w:rPr>
          <w:t>Conservation District</w:t>
        </w:r>
      </w:hyperlink>
      <w:hyperlink r:id="rId11">
        <w:r>
          <w:rPr>
            <w:color w:val="F5821F"/>
          </w:rPr>
          <w:t>, No. CV-24-0267-PR, 2026 WL 1141802 (Ariz. Apr. 28, 2026), where the Arizona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Supreme Court declared that the one-year statute of limitations in A.R.S. § 12-821 does not apply</w:t>
        </w:r>
      </w:hyperlink>
      <w:r>
        <w:rPr>
          <w:color w:val="F5821F"/>
          <w:spacing w:val="80"/>
        </w:rPr>
        <w:t> </w:t>
      </w:r>
      <w:hyperlink r:id="rId11">
        <w:r>
          <w:rPr>
            <w:color w:val="F5821F"/>
          </w:rPr>
          <w:t>to claims by a government-entity plaintiff against another government entity, helping secure a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ruling that preserves flexibility for public entities to resolve disputes without the pressure of a strict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one-year deadline.</w:t>
        </w:r>
      </w:hyperlink>
    </w:p>
    <w:p>
      <w:pPr>
        <w:pStyle w:val="BodyText"/>
        <w:spacing w:line="285" w:lineRule="auto" w:before="122"/>
        <w:ind w:left="99" w:right="132"/>
      </w:pPr>
      <w:r>
        <w:rPr>
          <w:color w:val="6E6158"/>
        </w:rPr>
        <w:t>Won 10th Circuit appeal affirming summary judgment for large dairy distributor in high-dollar</w:t>
      </w:r>
      <w:r>
        <w:rPr>
          <w:color w:val="6E6158"/>
          <w:spacing w:val="40"/>
        </w:rPr>
        <w:t> </w:t>
      </w:r>
      <w:r>
        <w:rPr>
          <w:color w:val="6E6158"/>
        </w:rPr>
        <w:t>wrongful</w:t>
      </w:r>
      <w:r>
        <w:rPr>
          <w:color w:val="6E6158"/>
          <w:spacing w:val="-2"/>
        </w:rPr>
        <w:t> </w:t>
      </w:r>
      <w:r>
        <w:rPr>
          <w:color w:val="6E6158"/>
        </w:rPr>
        <w:t>death</w:t>
      </w:r>
      <w:r>
        <w:rPr>
          <w:color w:val="6E6158"/>
          <w:spacing w:val="-2"/>
        </w:rPr>
        <w:t> </w:t>
      </w:r>
      <w:r>
        <w:rPr>
          <w:color w:val="6E6158"/>
        </w:rPr>
        <w:t>lawsuit.</w:t>
      </w:r>
      <w:r>
        <w:rPr>
          <w:color w:val="6E6158"/>
          <w:spacing w:val="-2"/>
        </w:rPr>
        <w:t> </w:t>
      </w:r>
      <w:r>
        <w:rPr>
          <w:i/>
          <w:color w:val="6E6158"/>
          <w:sz w:val="20"/>
        </w:rPr>
        <w:t>Estate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Ratley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by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&amp;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through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Ratley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Awad</w:t>
      </w:r>
      <w:r>
        <w:rPr>
          <w:color w:val="6E6158"/>
        </w:rPr>
        <w:t>,</w:t>
      </w:r>
      <w:r>
        <w:rPr>
          <w:color w:val="6E6158"/>
          <w:spacing w:val="-2"/>
        </w:rPr>
        <w:t> </w:t>
      </w:r>
      <w:r>
        <w:rPr>
          <w:color w:val="6E6158"/>
        </w:rPr>
        <w:t>CV-19-00265-PRW,</w:t>
      </w:r>
      <w:r>
        <w:rPr>
          <w:color w:val="6E6158"/>
          <w:spacing w:val="-2"/>
        </w:rPr>
        <w:t> </w:t>
      </w:r>
      <w:r>
        <w:rPr>
          <w:color w:val="6E6158"/>
        </w:rPr>
        <w:t>2021</w:t>
      </w:r>
      <w:r>
        <w:rPr>
          <w:color w:val="6E6158"/>
          <w:spacing w:val="-2"/>
        </w:rPr>
        <w:t> </w:t>
      </w:r>
      <w:r>
        <w:rPr>
          <w:color w:val="6E6158"/>
        </w:rPr>
        <w:t>WL 1845497 (W.D. Okla. May 7, 2021), </w:t>
      </w:r>
      <w:r>
        <w:rPr>
          <w:i/>
          <w:color w:val="6E6158"/>
          <w:sz w:val="20"/>
        </w:rPr>
        <w:t>aff’d, </w:t>
      </w:r>
      <w:r>
        <w:rPr>
          <w:color w:val="6E6158"/>
        </w:rPr>
        <w:t>23-6169, 2025 WL 1166454 (10th Cir. Apr. 22, 2025).</w:t>
      </w:r>
    </w:p>
    <w:p>
      <w:pPr>
        <w:pStyle w:val="BodyText"/>
        <w:spacing w:line="292" w:lineRule="auto" w:before="124"/>
        <w:ind w:left="99" w:right="247"/>
      </w:pPr>
      <w:r>
        <w:rPr>
          <w:color w:val="6E6158"/>
        </w:rPr>
        <w:t>Won appeal affirming summary judgment for State of Arizona and State Trooper in lawsuit</w:t>
      </w:r>
      <w:r>
        <w:rPr>
          <w:color w:val="6E6158"/>
          <w:spacing w:val="40"/>
        </w:rPr>
        <w:t> </w:t>
      </w:r>
      <w:r>
        <w:rPr>
          <w:color w:val="6E6158"/>
        </w:rPr>
        <w:t>asserting</w:t>
      </w:r>
      <w:r>
        <w:rPr>
          <w:color w:val="6E6158"/>
          <w:spacing w:val="13"/>
        </w:rPr>
        <w:t> </w:t>
      </w:r>
      <w:r>
        <w:rPr>
          <w:color w:val="6E6158"/>
        </w:rPr>
        <w:t>42</w:t>
      </w:r>
      <w:r>
        <w:rPr>
          <w:color w:val="6E6158"/>
          <w:spacing w:val="13"/>
        </w:rPr>
        <w:t> </w:t>
      </w:r>
      <w:r>
        <w:rPr>
          <w:color w:val="6E6158"/>
        </w:rPr>
        <w:t>U.S.C.</w:t>
      </w:r>
      <w:r>
        <w:rPr>
          <w:color w:val="6E6158"/>
          <w:spacing w:val="13"/>
        </w:rPr>
        <w:t> </w:t>
      </w:r>
      <w:r>
        <w:rPr>
          <w:color w:val="6E6158"/>
        </w:rPr>
        <w:t>1983</w:t>
      </w:r>
      <w:r>
        <w:rPr>
          <w:color w:val="6E6158"/>
          <w:spacing w:val="13"/>
        </w:rPr>
        <w:t> </w:t>
      </w:r>
      <w:r>
        <w:rPr>
          <w:color w:val="6E6158"/>
        </w:rPr>
        <w:t>claim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state-law</w:t>
      </w:r>
      <w:r>
        <w:rPr>
          <w:color w:val="6E6158"/>
          <w:spacing w:val="13"/>
        </w:rPr>
        <w:t> </w:t>
      </w:r>
      <w:r>
        <w:rPr>
          <w:color w:val="6E6158"/>
        </w:rPr>
        <w:t>claims.</w:t>
      </w:r>
      <w:r>
        <w:rPr>
          <w:color w:val="6E6158"/>
          <w:spacing w:val="13"/>
        </w:rPr>
        <w:t> </w:t>
      </w:r>
      <w:r>
        <w:rPr>
          <w:color w:val="6E6158"/>
        </w:rPr>
        <w:t>Johnson</w:t>
      </w:r>
      <w:r>
        <w:rPr>
          <w:color w:val="6E6158"/>
          <w:spacing w:val="13"/>
        </w:rPr>
        <w:t> </w:t>
      </w:r>
      <w:r>
        <w:rPr>
          <w:color w:val="6E6158"/>
        </w:rPr>
        <w:t>v.</w:t>
      </w:r>
      <w:r>
        <w:rPr>
          <w:color w:val="6E6158"/>
          <w:spacing w:val="13"/>
        </w:rPr>
        <w:t> </w:t>
      </w:r>
      <w:r>
        <w:rPr>
          <w:color w:val="6E6158"/>
        </w:rPr>
        <w:t>State,</w:t>
      </w:r>
      <w:r>
        <w:rPr>
          <w:color w:val="6E6158"/>
          <w:spacing w:val="13"/>
        </w:rPr>
        <w:t> </w:t>
      </w:r>
      <w:r>
        <w:rPr>
          <w:color w:val="6E6158"/>
        </w:rPr>
        <w:t>1</w:t>
      </w:r>
      <w:r>
        <w:rPr>
          <w:color w:val="6E6158"/>
          <w:spacing w:val="13"/>
        </w:rPr>
        <w:t> </w:t>
      </w:r>
      <w:r>
        <w:rPr>
          <w:color w:val="6E6158"/>
        </w:rPr>
        <w:t>CA-CV</w:t>
      </w:r>
      <w:r>
        <w:rPr>
          <w:color w:val="6E6158"/>
          <w:spacing w:val="13"/>
        </w:rPr>
        <w:t> </w:t>
      </w:r>
      <w:r>
        <w:rPr>
          <w:color w:val="6E6158"/>
        </w:rPr>
        <w:t>25-0271,</w:t>
      </w:r>
      <w:r>
        <w:rPr>
          <w:color w:val="6E6158"/>
          <w:spacing w:val="13"/>
        </w:rPr>
        <w:t> </w:t>
      </w:r>
      <w:r>
        <w:rPr>
          <w:color w:val="6E6158"/>
        </w:rPr>
        <w:t>2026</w:t>
      </w:r>
      <w:r>
        <w:rPr>
          <w:color w:val="6E6158"/>
          <w:spacing w:val="13"/>
        </w:rPr>
        <w:t> </w:t>
      </w:r>
      <w:r>
        <w:rPr>
          <w:color w:val="6E6158"/>
        </w:rPr>
        <w:t>WL</w:t>
      </w:r>
    </w:p>
    <w:p>
      <w:pPr>
        <w:pStyle w:val="BodyText"/>
        <w:spacing w:before="1"/>
        <w:ind w:left="99"/>
      </w:pPr>
      <w:r>
        <w:rPr>
          <w:color w:val="6E6158"/>
        </w:rPr>
        <w:t>218669</w:t>
      </w:r>
      <w:r>
        <w:rPr>
          <w:color w:val="6E6158"/>
          <w:spacing w:val="10"/>
        </w:rPr>
        <w:t> </w:t>
      </w:r>
      <w:r>
        <w:rPr>
          <w:color w:val="6E6158"/>
        </w:rPr>
        <w:t>(App.</w:t>
      </w:r>
      <w:r>
        <w:rPr>
          <w:color w:val="6E6158"/>
          <w:spacing w:val="10"/>
        </w:rPr>
        <w:t> </w:t>
      </w:r>
      <w:r>
        <w:rPr>
          <w:color w:val="6E6158"/>
        </w:rPr>
        <w:t>Jan.</w:t>
      </w:r>
      <w:r>
        <w:rPr>
          <w:color w:val="6E6158"/>
          <w:spacing w:val="10"/>
        </w:rPr>
        <w:t> </w:t>
      </w:r>
      <w:r>
        <w:rPr>
          <w:color w:val="6E6158"/>
        </w:rPr>
        <w:t>28,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2026).</w:t>
      </w:r>
    </w:p>
    <w:p>
      <w:pPr>
        <w:pStyle w:val="BodyText"/>
        <w:spacing w:line="292" w:lineRule="auto" w:before="182"/>
        <w:ind w:left="99" w:right="210"/>
      </w:pPr>
      <w:r>
        <w:rPr>
          <w:color w:val="6E6158"/>
        </w:rPr>
        <w:t>Won appeal affirming summary judgment for our government-entity client in negligence suit</w:t>
      </w:r>
      <w:r>
        <w:rPr>
          <w:color w:val="6E6158"/>
          <w:spacing w:val="40"/>
        </w:rPr>
        <w:t> </w:t>
      </w:r>
      <w:r>
        <w:rPr>
          <w:color w:val="6E6158"/>
        </w:rPr>
        <w:t>relating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911</w:t>
      </w:r>
      <w:r>
        <w:rPr>
          <w:color w:val="6E6158"/>
          <w:spacing w:val="14"/>
        </w:rPr>
        <w:t> </w:t>
      </w:r>
      <w:r>
        <w:rPr>
          <w:color w:val="6E6158"/>
        </w:rPr>
        <w:t>dispatcher</w:t>
      </w:r>
      <w:r>
        <w:rPr>
          <w:color w:val="6E6158"/>
          <w:spacing w:val="14"/>
        </w:rPr>
        <w:t> </w:t>
      </w:r>
      <w:r>
        <w:rPr>
          <w:color w:val="6E6158"/>
        </w:rPr>
        <w:t>services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wrong-way</w:t>
      </w:r>
      <w:r>
        <w:rPr>
          <w:color w:val="6E6158"/>
          <w:spacing w:val="14"/>
        </w:rPr>
        <w:t> </w:t>
      </w:r>
      <w:r>
        <w:rPr>
          <w:color w:val="6E6158"/>
        </w:rPr>
        <w:t>driver</w:t>
      </w:r>
      <w:r>
        <w:rPr>
          <w:color w:val="6E6158"/>
          <w:spacing w:val="14"/>
        </w:rPr>
        <w:t> </w:t>
      </w:r>
      <w:r>
        <w:rPr>
          <w:color w:val="6E6158"/>
        </w:rPr>
        <w:t>policies.</w:t>
      </w:r>
      <w:r>
        <w:rPr>
          <w:color w:val="6E6158"/>
          <w:spacing w:val="14"/>
        </w:rPr>
        <w:t> </w:t>
      </w:r>
      <w:r>
        <w:rPr>
          <w:color w:val="6E6158"/>
        </w:rPr>
        <w:t>Harianto</w:t>
      </w:r>
      <w:r>
        <w:rPr>
          <w:color w:val="6E6158"/>
          <w:spacing w:val="14"/>
        </w:rPr>
        <w:t> </w:t>
      </w:r>
      <w:r>
        <w:rPr>
          <w:color w:val="6E6158"/>
        </w:rPr>
        <w:t>v.</w:t>
      </w:r>
      <w:r>
        <w:rPr>
          <w:color w:val="6E6158"/>
          <w:spacing w:val="14"/>
        </w:rPr>
        <w:t> </w:t>
      </w:r>
      <w:r>
        <w:rPr>
          <w:color w:val="6E6158"/>
        </w:rPr>
        <w:t>State,</w:t>
      </w:r>
      <w:r>
        <w:rPr>
          <w:color w:val="6E6158"/>
          <w:spacing w:val="14"/>
        </w:rPr>
        <w:t> </w:t>
      </w:r>
      <w:r>
        <w:rPr>
          <w:color w:val="6E6158"/>
        </w:rPr>
        <w:t>1</w:t>
      </w:r>
      <w:r>
        <w:rPr>
          <w:color w:val="6E6158"/>
          <w:spacing w:val="14"/>
        </w:rPr>
        <w:t> </w:t>
      </w:r>
      <w:r>
        <w:rPr>
          <w:color w:val="6E6158"/>
        </w:rPr>
        <w:t>CA-CV</w:t>
      </w:r>
      <w:r>
        <w:rPr>
          <w:color w:val="6E6158"/>
          <w:spacing w:val="14"/>
        </w:rPr>
        <w:t> </w:t>
      </w:r>
      <w:r>
        <w:rPr>
          <w:color w:val="6E6158"/>
        </w:rPr>
        <w:t>23-0789, 2024 WL 4511250 (App. Oct. 17, 2024), review denied (Aug. 1, 2025).</w:t>
      </w:r>
    </w:p>
    <w:p>
      <w:pPr>
        <w:pStyle w:val="BodyText"/>
        <w:spacing w:line="302" w:lineRule="auto" w:before="124"/>
        <w:ind w:left="99" w:right="404"/>
      </w:pPr>
      <w:r>
        <w:rPr>
          <w:color w:val="6E6158"/>
        </w:rPr>
        <w:t>Successfully defended Proposition 123 providing for distributions to schools of monies from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Land</w:t>
      </w:r>
      <w:r>
        <w:rPr>
          <w:color w:val="6E6158"/>
          <w:spacing w:val="27"/>
        </w:rPr>
        <w:t> </w:t>
      </w:r>
      <w:r>
        <w:rPr>
          <w:color w:val="6E6158"/>
        </w:rPr>
        <w:t>Trust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both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court</w:t>
      </w:r>
      <w:r>
        <w:rPr>
          <w:color w:val="6E6158"/>
          <w:spacing w:val="27"/>
        </w:rPr>
        <w:t> </w:t>
      </w:r>
      <w:r>
        <w:rPr>
          <w:color w:val="6E6158"/>
        </w:rPr>
        <w:t>against</w:t>
      </w:r>
      <w:r>
        <w:rPr>
          <w:color w:val="6E6158"/>
          <w:spacing w:val="27"/>
        </w:rPr>
        <w:t> </w:t>
      </w:r>
      <w:r>
        <w:rPr>
          <w:color w:val="6E6158"/>
        </w:rPr>
        <w:t>challenges</w:t>
      </w:r>
      <w:r>
        <w:rPr>
          <w:color w:val="6E6158"/>
          <w:spacing w:val="27"/>
        </w:rPr>
        <w:t> </w:t>
      </w:r>
      <w:r>
        <w:rPr>
          <w:color w:val="6E6158"/>
        </w:rPr>
        <w:t>under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Enabling</w:t>
      </w:r>
      <w:r>
        <w:rPr>
          <w:color w:val="6E6158"/>
          <w:spacing w:val="27"/>
        </w:rPr>
        <w:t> </w:t>
      </w:r>
      <w:r>
        <w:rPr>
          <w:color w:val="6E6158"/>
        </w:rPr>
        <w:t>Act.</w:t>
      </w:r>
    </w:p>
    <w:p>
      <w:pPr>
        <w:spacing w:line="226" w:lineRule="exact" w:before="0"/>
        <w:ind w:left="99" w:right="0" w:firstLine="0"/>
        <w:jc w:val="left"/>
        <w:rPr>
          <w:i/>
          <w:sz w:val="20"/>
        </w:rPr>
      </w:pPr>
      <w:r>
        <w:rPr>
          <w:i/>
          <w:color w:val="6E6158"/>
          <w:sz w:val="20"/>
        </w:rPr>
        <w:t>Pierce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Ducey</w:t>
      </w:r>
      <w:r>
        <w:rPr>
          <w:color w:val="6E6158"/>
          <w:sz w:val="19"/>
        </w:rPr>
        <w:t>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No.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1CA-CV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22-0007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(Arizona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Court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Appeals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October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25,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2022);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Pierce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5"/>
          <w:sz w:val="20"/>
        </w:rPr>
        <w:t>v.</w:t>
      </w:r>
    </w:p>
    <w:p>
      <w:pPr>
        <w:pStyle w:val="BodyText"/>
        <w:spacing w:before="40"/>
        <w:ind w:left="99"/>
      </w:pPr>
      <w:r>
        <w:rPr>
          <w:i/>
          <w:color w:val="6E6158"/>
          <w:sz w:val="20"/>
        </w:rPr>
        <w:t>Ducey</w:t>
      </w:r>
      <w:r>
        <w:rPr>
          <w:color w:val="6E6158"/>
        </w:rPr>
        <w:t>,</w:t>
      </w:r>
      <w:r>
        <w:rPr>
          <w:color w:val="6E6158"/>
          <w:spacing w:val="-2"/>
        </w:rPr>
        <w:t> </w:t>
      </w:r>
      <w:r>
        <w:rPr>
          <w:color w:val="6E6158"/>
        </w:rPr>
        <w:t>965</w:t>
      </w:r>
      <w:r>
        <w:rPr>
          <w:color w:val="6E6158"/>
          <w:spacing w:val="-1"/>
        </w:rPr>
        <w:t> </w:t>
      </w:r>
      <w:r>
        <w:rPr>
          <w:color w:val="6E6158"/>
        </w:rPr>
        <w:t>F.3d</w:t>
      </w:r>
      <w:r>
        <w:rPr>
          <w:color w:val="6E6158"/>
          <w:spacing w:val="-1"/>
        </w:rPr>
        <w:t> </w:t>
      </w:r>
      <w:r>
        <w:rPr>
          <w:color w:val="6E6158"/>
        </w:rPr>
        <w:t>1085</w:t>
      </w:r>
      <w:r>
        <w:rPr>
          <w:color w:val="6E6158"/>
          <w:spacing w:val="-2"/>
        </w:rPr>
        <w:t> </w:t>
      </w:r>
      <w:r>
        <w:rPr>
          <w:color w:val="6E6158"/>
        </w:rPr>
        <w:t>(9th</w:t>
      </w:r>
      <w:r>
        <w:rPr>
          <w:color w:val="6E6158"/>
          <w:spacing w:val="-1"/>
        </w:rPr>
        <w:t> </w:t>
      </w:r>
      <w:r>
        <w:rPr>
          <w:color w:val="6E6158"/>
        </w:rPr>
        <w:t>Cir.</w:t>
      </w:r>
      <w:r>
        <w:rPr>
          <w:color w:val="6E6158"/>
          <w:spacing w:val="-1"/>
        </w:rPr>
        <w:t> </w:t>
      </w:r>
      <w:r>
        <w:rPr>
          <w:color w:val="6E6158"/>
          <w:spacing w:val="-2"/>
        </w:rPr>
        <w:t>2020).</w:t>
      </w:r>
    </w:p>
    <w:p>
      <w:pPr>
        <w:pStyle w:val="BodyText"/>
        <w:spacing w:line="290" w:lineRule="auto" w:before="171"/>
        <w:ind w:left="99" w:right="393"/>
      </w:pPr>
      <w:r>
        <w:rPr>
          <w:color w:val="6E6158"/>
        </w:rPr>
        <w:t>Won appeal on behalf of plaintiff/appellee business entity in lawsuit against sanitary district</w:t>
      </w:r>
      <w:r>
        <w:rPr>
          <w:color w:val="6E6158"/>
          <w:spacing w:val="40"/>
        </w:rPr>
        <w:t> </w:t>
      </w:r>
      <w:r>
        <w:rPr>
          <w:color w:val="6E6158"/>
        </w:rPr>
        <w:t>relating to required provision of sewer services. </w:t>
      </w:r>
      <w:r>
        <w:rPr>
          <w:i/>
          <w:color w:val="6E6158"/>
          <w:sz w:val="20"/>
        </w:rPr>
        <w:t>Talking Rock Land, LLC v. Inscription Canyon</w:t>
      </w:r>
      <w:r>
        <w:rPr>
          <w:i/>
          <w:color w:val="6E6158"/>
          <w:sz w:val="20"/>
        </w:rPr>
        <w:t> Ranch Sanitary Dist.</w:t>
      </w:r>
      <w:r>
        <w:rPr>
          <w:color w:val="6E6158"/>
        </w:rPr>
        <w:t>, 1 CA-CV 19-0284, 2020 WL 113380 (App. Jan. 9, 2020). Also successfully defended against related federal court suit. Allied World Specialty Ins. Co. v. ICR Sanitary </w:t>
      </w:r>
      <w:r>
        <w:rPr>
          <w:color w:val="6E6158"/>
        </w:rPr>
        <w:t>Dist.,</w:t>
      </w:r>
      <w:r>
        <w:rPr>
          <w:color w:val="6E6158"/>
          <w:spacing w:val="40"/>
        </w:rPr>
        <w:t> </w:t>
      </w:r>
      <w:r>
        <w:rPr>
          <w:color w:val="6E6158"/>
        </w:rPr>
        <w:t>CV-20-08091-PHX-DJH, 2021 WL 1951750 (D. Ariz. Feb. 24, 2021).</w:t>
      </w:r>
    </w:p>
    <w:p>
      <w:pPr>
        <w:pStyle w:val="BodyText"/>
        <w:spacing w:line="283" w:lineRule="auto" w:before="124"/>
        <w:ind w:left="99" w:right="404"/>
      </w:pPr>
      <w:r>
        <w:rPr>
          <w:color w:val="6E6158"/>
        </w:rPr>
        <w:t>Represented amicus curiae in successful Gift Clause argument on appeal to the </w:t>
      </w:r>
      <w:r>
        <w:rPr>
          <w:color w:val="6E6158"/>
        </w:rPr>
        <w:t>Arizona Supreme Court. </w:t>
      </w:r>
      <w:r>
        <w:rPr>
          <w:i/>
          <w:color w:val="6E6158"/>
          <w:sz w:val="20"/>
        </w:rPr>
        <w:t>Schires v. Carlat</w:t>
      </w:r>
      <w:r>
        <w:rPr>
          <w:color w:val="6E6158"/>
        </w:rPr>
        <w:t>, 250 Ariz. 371, 480 P.3d 639 (2021)</w:t>
      </w:r>
    </w:p>
    <w:p>
      <w:pPr>
        <w:pStyle w:val="BodyText"/>
        <w:spacing w:after="0" w:line="283" w:lineRule="auto"/>
        <w:sectPr>
          <w:pgSz w:w="12240" w:h="15840"/>
          <w:pgMar w:top="500" w:bottom="280" w:left="1440" w:right="1440"/>
        </w:sectPr>
      </w:pPr>
    </w:p>
    <w:p>
      <w:pPr>
        <w:pStyle w:val="Heading3"/>
      </w:pPr>
      <w:r>
        <w:rPr>
          <w:color w:val="6E6158"/>
        </w:rPr>
        <w:t>Litigation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Work</w:t>
      </w:r>
    </w:p>
    <w:p>
      <w:pPr>
        <w:pStyle w:val="BodyText"/>
        <w:spacing w:before="14"/>
        <w:rPr>
          <w:b/>
        </w:rPr>
      </w:pPr>
    </w:p>
    <w:p>
      <w:pPr>
        <w:pStyle w:val="BodyText"/>
        <w:spacing w:line="297" w:lineRule="auto" w:before="1"/>
        <w:ind w:left="99" w:right="690"/>
        <w:jc w:val="both"/>
      </w:pPr>
      <w:r>
        <w:rPr>
          <w:color w:val="6E6158"/>
        </w:rPr>
        <w:t>Second chaired and won jury trial in lawsuit asserting negligent design, signage, and </w:t>
      </w:r>
      <w:r>
        <w:rPr>
          <w:color w:val="6E6158"/>
        </w:rPr>
        <w:t>traffic control against a government entity. Obtained unanimous jury verdict after only 15-minute </w:t>
      </w:r>
      <w:r>
        <w:rPr>
          <w:color w:val="6E6158"/>
          <w:spacing w:val="-2"/>
        </w:rPr>
        <w:t>deliberation.</w:t>
      </w:r>
    </w:p>
    <w:p>
      <w:pPr>
        <w:pStyle w:val="BodyText"/>
        <w:spacing w:line="292" w:lineRule="auto" w:before="118"/>
        <w:ind w:left="99" w:right="716"/>
        <w:jc w:val="both"/>
      </w:pPr>
      <w:r>
        <w:rPr>
          <w:color w:val="6E6158"/>
        </w:rPr>
        <w:t>Second chaired and won bench trial on a directed verdict on claims of alleged fraud and misrepresentation in a business dispute.</w:t>
      </w:r>
    </w:p>
    <w:p>
      <w:pPr>
        <w:pStyle w:val="BodyText"/>
        <w:spacing w:line="292" w:lineRule="auto" w:before="131"/>
        <w:ind w:left="99" w:right="617"/>
        <w:jc w:val="both"/>
      </w:pPr>
      <w:r>
        <w:rPr>
          <w:color w:val="6E6158"/>
        </w:rPr>
        <w:t>Third chaired and won bench trial on claims against government entity arising out of severe storm and resultant flooding of natural wash.</w:t>
      </w:r>
    </w:p>
    <w:p>
      <w:pPr>
        <w:pStyle w:val="BodyText"/>
        <w:spacing w:line="292" w:lineRule="auto" w:before="123"/>
        <w:ind w:left="99" w:right="116"/>
        <w:jc w:val="both"/>
      </w:pPr>
      <w:r>
        <w:rPr>
          <w:color w:val="6E6158"/>
        </w:rPr>
        <w:t>Third chaired and won jury trial in lawsuit asserting claims against government entity arising out of severe</w:t>
      </w:r>
      <w:r>
        <w:rPr>
          <w:color w:val="6E6158"/>
          <w:spacing w:val="35"/>
        </w:rPr>
        <w:t> </w:t>
      </w:r>
      <w:r>
        <w:rPr>
          <w:color w:val="6E6158"/>
        </w:rPr>
        <w:t>monsoon</w:t>
      </w:r>
      <w:r>
        <w:rPr>
          <w:color w:val="6E6158"/>
          <w:spacing w:val="35"/>
        </w:rPr>
        <w:t> </w:t>
      </w:r>
      <w:r>
        <w:rPr>
          <w:color w:val="6E6158"/>
        </w:rPr>
        <w:t>storm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resultant</w:t>
      </w:r>
      <w:r>
        <w:rPr>
          <w:color w:val="6E6158"/>
          <w:spacing w:val="35"/>
        </w:rPr>
        <w:t> </w:t>
      </w:r>
      <w:r>
        <w:rPr>
          <w:color w:val="6E6158"/>
        </w:rPr>
        <w:t>flooding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drainage</w:t>
      </w:r>
      <w:r>
        <w:rPr>
          <w:color w:val="6E6158"/>
          <w:spacing w:val="35"/>
        </w:rPr>
        <w:t> </w:t>
      </w:r>
      <w:r>
        <w:rPr>
          <w:color w:val="6E6158"/>
        </w:rPr>
        <w:t>canal.</w:t>
      </w:r>
      <w:r>
        <w:rPr>
          <w:color w:val="6E6158"/>
          <w:spacing w:val="35"/>
        </w:rPr>
        <w:t> </w:t>
      </w:r>
      <w:r>
        <w:rPr>
          <w:color w:val="6E6158"/>
        </w:rPr>
        <w:t>Obtained</w:t>
      </w:r>
      <w:r>
        <w:rPr>
          <w:color w:val="6E6158"/>
          <w:spacing w:val="35"/>
        </w:rPr>
        <w:t> </w:t>
      </w:r>
      <w:r>
        <w:rPr>
          <w:color w:val="6E6158"/>
        </w:rPr>
        <w:t>unanimous</w:t>
      </w:r>
      <w:r>
        <w:rPr>
          <w:color w:val="6E6158"/>
          <w:spacing w:val="35"/>
        </w:rPr>
        <w:t> </w:t>
      </w:r>
      <w:r>
        <w:rPr>
          <w:color w:val="6E6158"/>
        </w:rPr>
        <w:t>jury</w:t>
      </w:r>
    </w:p>
    <w:p>
      <w:pPr>
        <w:pStyle w:val="BodyText"/>
        <w:spacing w:before="10"/>
        <w:ind w:left="99"/>
        <w:jc w:val="both"/>
      </w:pPr>
      <w:r>
        <w:rPr>
          <w:color w:val="6E6158"/>
        </w:rPr>
        <w:t>verdict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all</w:t>
      </w:r>
      <w:r>
        <w:rPr>
          <w:color w:val="6E6158"/>
          <w:spacing w:val="11"/>
        </w:rPr>
        <w:t> </w:t>
      </w:r>
      <w:r>
        <w:rPr>
          <w:color w:val="6E6158"/>
        </w:rPr>
        <w:t>claims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affirmative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defenses.</w:t>
      </w:r>
    </w:p>
    <w:p>
      <w:pPr>
        <w:pStyle w:val="BodyText"/>
        <w:spacing w:line="292" w:lineRule="auto" w:before="174"/>
        <w:ind w:left="99" w:right="589"/>
        <w:jc w:val="both"/>
      </w:pPr>
      <w:r>
        <w:rPr>
          <w:color w:val="6E6158"/>
        </w:rPr>
        <w:t>Successfully defended city in zoning dispute that sought to prevent $7 billion </w:t>
      </w:r>
      <w:r>
        <w:rPr>
          <w:color w:val="6E6158"/>
        </w:rPr>
        <w:t>semiconductor packing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test</w:t>
      </w:r>
      <w:r>
        <w:rPr>
          <w:color w:val="6E6158"/>
          <w:spacing w:val="38"/>
        </w:rPr>
        <w:t> </w:t>
      </w:r>
      <w:r>
        <w:rPr>
          <w:color w:val="6E6158"/>
        </w:rPr>
        <w:t>facility</w:t>
      </w:r>
      <w:r>
        <w:rPr>
          <w:color w:val="6E6158"/>
          <w:spacing w:val="38"/>
        </w:rPr>
        <w:t> </w:t>
      </w:r>
      <w:r>
        <w:rPr>
          <w:color w:val="6E6158"/>
        </w:rPr>
        <w:t>development</w:t>
      </w:r>
      <w:r>
        <w:rPr>
          <w:color w:val="6E6158"/>
          <w:spacing w:val="38"/>
        </w:rPr>
        <w:t> </w:t>
      </w:r>
      <w:r>
        <w:rPr>
          <w:color w:val="6E6158"/>
        </w:rPr>
        <w:t>that</w:t>
      </w:r>
      <w:r>
        <w:rPr>
          <w:color w:val="6E6158"/>
          <w:spacing w:val="38"/>
        </w:rPr>
        <w:t> </w:t>
      </w:r>
      <w:r>
        <w:rPr>
          <w:color w:val="6E6158"/>
        </w:rPr>
        <w:t>serves</w:t>
      </w:r>
      <w:r>
        <w:rPr>
          <w:color w:val="6E6158"/>
          <w:spacing w:val="38"/>
        </w:rPr>
        <w:t> </w:t>
      </w:r>
      <w:r>
        <w:rPr>
          <w:color w:val="6E6158"/>
        </w:rPr>
        <w:t>important</w:t>
      </w:r>
      <w:r>
        <w:rPr>
          <w:color w:val="6E6158"/>
          <w:spacing w:val="38"/>
        </w:rPr>
        <w:t> </w:t>
      </w:r>
      <w:r>
        <w:rPr>
          <w:color w:val="6E6158"/>
        </w:rPr>
        <w:t>national</w:t>
      </w:r>
      <w:r>
        <w:rPr>
          <w:color w:val="6E6158"/>
          <w:spacing w:val="38"/>
        </w:rPr>
        <w:t> </w:t>
      </w:r>
      <w:r>
        <w:rPr>
          <w:color w:val="6E6158"/>
        </w:rPr>
        <w:t>economic</w:t>
      </w:r>
      <w:r>
        <w:rPr>
          <w:color w:val="6E6158"/>
          <w:spacing w:val="38"/>
        </w:rPr>
        <w:t> </w:t>
      </w:r>
      <w:r>
        <w:rPr>
          <w:color w:val="6E6158"/>
        </w:rPr>
        <w:t>security</w:t>
      </w:r>
    </w:p>
    <w:p>
      <w:pPr>
        <w:pStyle w:val="BodyText"/>
        <w:spacing w:before="1"/>
        <w:ind w:left="99"/>
        <w:jc w:val="both"/>
      </w:pPr>
      <w:r>
        <w:rPr>
          <w:color w:val="6E6158"/>
        </w:rPr>
        <w:t>purposes.</w:t>
      </w:r>
      <w:r>
        <w:rPr>
          <w:color w:val="6E6158"/>
          <w:spacing w:val="8"/>
        </w:rPr>
        <w:t> </w:t>
      </w:r>
      <w:r>
        <w:rPr>
          <w:color w:val="6E6158"/>
        </w:rPr>
        <w:t>Won</w:t>
      </w:r>
      <w:r>
        <w:rPr>
          <w:color w:val="6E6158"/>
          <w:spacing w:val="9"/>
        </w:rPr>
        <w:t> </w:t>
      </w:r>
      <w:r>
        <w:rPr>
          <w:color w:val="6E6158"/>
        </w:rPr>
        <w:t>case</w:t>
      </w:r>
      <w:r>
        <w:rPr>
          <w:color w:val="6E6158"/>
          <w:spacing w:val="9"/>
        </w:rPr>
        <w:t> </w:t>
      </w:r>
      <w:r>
        <w:rPr>
          <w:color w:val="6E6158"/>
        </w:rPr>
        <w:t>on</w:t>
      </w:r>
      <w:r>
        <w:rPr>
          <w:color w:val="6E6158"/>
          <w:spacing w:val="9"/>
        </w:rPr>
        <w:t> </w:t>
      </w:r>
      <w:r>
        <w:rPr>
          <w:color w:val="6E6158"/>
        </w:rPr>
        <w:t>motion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dismiss.</w:t>
      </w:r>
    </w:p>
    <w:p>
      <w:pPr>
        <w:pStyle w:val="BodyText"/>
        <w:spacing w:line="292" w:lineRule="auto" w:before="182"/>
        <w:ind w:left="99" w:right="404"/>
      </w:pPr>
      <w:r>
        <w:rPr>
          <w:color w:val="6E6158"/>
        </w:rPr>
        <w:t>Won summary judgment for government entity client in lawsuit alleging negligent road </w:t>
      </w:r>
      <w:r>
        <w:rPr>
          <w:color w:val="6E6158"/>
        </w:rPr>
        <w:t>design</w:t>
      </w:r>
      <w:r>
        <w:rPr>
          <w:color w:val="6E6158"/>
          <w:spacing w:val="40"/>
        </w:rPr>
        <w:t> </w:t>
      </w:r>
      <w:r>
        <w:rPr>
          <w:color w:val="6E6158"/>
        </w:rPr>
        <w:t>and signing.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97" w:lineRule="auto" w:before="253"/>
        <w:ind w:left="99" w:right="404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Ones to Watch, Commercial Litigation, Litigation-Banking </w:t>
      </w:r>
      <w:r>
        <w:rPr>
          <w:color w:val="6E6158"/>
          <w:sz w:val="19"/>
        </w:rPr>
        <w:t>and Finance, Litigation-Real Estate, 2022-2026</w:t>
      </w:r>
    </w:p>
    <w:p>
      <w:pPr>
        <w:pStyle w:val="BodyText"/>
        <w:spacing w:line="408" w:lineRule="auto" w:before="107"/>
        <w:ind w:left="99" w:right="3362"/>
      </w:pPr>
      <w:r>
        <w:rPr>
          <w:color w:val="6E6158"/>
        </w:rPr>
        <w:t>Top Lawyer – Commercial Litigation, </w:t>
      </w:r>
      <w:r>
        <w:rPr>
          <w:i/>
          <w:color w:val="6E6158"/>
          <w:sz w:val="20"/>
        </w:rPr>
        <w:t>Phoenix Magazine</w:t>
      </w:r>
      <w:r>
        <w:rPr>
          <w:color w:val="6E6158"/>
        </w:rPr>
        <w:t>, </w:t>
      </w:r>
      <w:r>
        <w:rPr>
          <w:color w:val="6E6158"/>
        </w:rPr>
        <w:t>2026 AZ Business Leaders 2026, Emerging Leaders in Law</w:t>
      </w:r>
    </w:p>
    <w:p>
      <w:pPr>
        <w:spacing w:line="415" w:lineRule="auto" w:before="1"/>
        <w:ind w:left="99" w:right="4372" w:firstLine="0"/>
        <w:jc w:val="left"/>
        <w:rPr>
          <w:sz w:val="19"/>
        </w:rPr>
      </w:pPr>
      <w:r>
        <w:rPr>
          <w:color w:val="6E6158"/>
          <w:sz w:val="19"/>
        </w:rPr>
        <w:t>50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Rising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Stars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2025</w:t>
      </w:r>
      <w:r>
        <w:rPr>
          <w:color w:val="6E6158"/>
          <w:sz w:val="19"/>
        </w:rPr>
        <w:t> Top Lawyers, Phoenix Magazine, 2025</w:t>
      </w:r>
    </w:p>
    <w:p>
      <w:pPr>
        <w:spacing w:line="408" w:lineRule="auto" w:before="0"/>
        <w:ind w:left="99" w:right="4043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z w:val="19"/>
        </w:rPr>
        <w:t>2026 Top Attorneys in the Southwest, 2024</w:t>
      </w:r>
    </w:p>
    <w:p>
      <w:pPr>
        <w:pStyle w:val="Heading2"/>
        <w:spacing w:before="29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292" w:lineRule="auto" w:before="1"/>
        <w:ind w:left="99" w:right="40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From Stay to Award: Supreme Court Clarifies Federal Court Jurisdiction After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Arbitration</w:t>
        </w:r>
      </w:hyperlink>
      <w:r>
        <w:rPr>
          <w:color w:val="6E6158"/>
        </w:rPr>
        <w:t>,” Fennemore Blog, July 6, 2026</w:t>
      </w:r>
    </w:p>
    <w:p>
      <w:pPr>
        <w:pStyle w:val="BodyText"/>
        <w:spacing w:line="292" w:lineRule="auto" w:before="123"/>
        <w:ind w:left="99" w:right="404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Time Does Not Run Against the King</w:t>
        </w:r>
      </w:hyperlink>
      <w:r>
        <w:rPr>
          <w:color w:val="6E6158"/>
        </w:rPr>
        <w:t>” – Arizona Supreme Court Confirms Government</w:t>
      </w:r>
      <w:r>
        <w:rPr>
          <w:color w:val="6E6158"/>
          <w:spacing w:val="40"/>
        </w:rPr>
        <w:t> </w:t>
      </w:r>
      <w:r>
        <w:rPr>
          <w:color w:val="6E6158"/>
        </w:rPr>
        <w:t>Entity</w:t>
      </w:r>
      <w:r>
        <w:rPr>
          <w:color w:val="6E6158"/>
          <w:spacing w:val="26"/>
        </w:rPr>
        <w:t> </w:t>
      </w:r>
      <w:r>
        <w:rPr>
          <w:color w:val="6E6158"/>
        </w:rPr>
        <w:t>Plaintiffs</w:t>
      </w:r>
      <w:r>
        <w:rPr>
          <w:color w:val="6E6158"/>
          <w:spacing w:val="26"/>
        </w:rPr>
        <w:t> </w:t>
      </w:r>
      <w:r>
        <w:rPr>
          <w:color w:val="6E6158"/>
        </w:rPr>
        <w:t>Are</w:t>
      </w:r>
      <w:r>
        <w:rPr>
          <w:color w:val="6E6158"/>
          <w:spacing w:val="26"/>
        </w:rPr>
        <w:t> </w:t>
      </w:r>
      <w:r>
        <w:rPr>
          <w:color w:val="6E6158"/>
        </w:rPr>
        <w:t>Not</w:t>
      </w:r>
      <w:r>
        <w:rPr>
          <w:color w:val="6E6158"/>
          <w:spacing w:val="26"/>
        </w:rPr>
        <w:t> </w:t>
      </w:r>
      <w:r>
        <w:rPr>
          <w:color w:val="6E6158"/>
        </w:rPr>
        <w:t>Bound</w:t>
      </w:r>
      <w:r>
        <w:rPr>
          <w:color w:val="6E6158"/>
          <w:spacing w:val="26"/>
        </w:rPr>
        <w:t> </w:t>
      </w:r>
      <w:r>
        <w:rPr>
          <w:color w:val="6E6158"/>
        </w:rPr>
        <w:t>By</w:t>
      </w:r>
      <w:r>
        <w:rPr>
          <w:color w:val="6E6158"/>
          <w:spacing w:val="26"/>
        </w:rPr>
        <w:t> </w:t>
      </w:r>
      <w:r>
        <w:rPr>
          <w:color w:val="6E6158"/>
        </w:rPr>
        <w:t>A.R.S.</w:t>
      </w:r>
      <w:r>
        <w:rPr>
          <w:color w:val="6E6158"/>
          <w:spacing w:val="26"/>
        </w:rPr>
        <w:t> </w:t>
      </w:r>
      <w:r>
        <w:rPr>
          <w:color w:val="6E6158"/>
        </w:rPr>
        <w:t>§</w:t>
      </w:r>
      <w:r>
        <w:rPr>
          <w:color w:val="6E6158"/>
          <w:spacing w:val="26"/>
        </w:rPr>
        <w:t> </w:t>
      </w:r>
      <w:r>
        <w:rPr>
          <w:color w:val="6E6158"/>
        </w:rPr>
        <w:t>12-821’s</w:t>
      </w:r>
      <w:r>
        <w:rPr>
          <w:color w:val="6E6158"/>
          <w:spacing w:val="26"/>
        </w:rPr>
        <w:t> </w:t>
      </w:r>
      <w:r>
        <w:rPr>
          <w:color w:val="6E6158"/>
        </w:rPr>
        <w:t>One-Year</w:t>
      </w:r>
      <w:r>
        <w:rPr>
          <w:color w:val="6E6158"/>
          <w:spacing w:val="26"/>
        </w:rPr>
        <w:t> </w:t>
      </w:r>
      <w:r>
        <w:rPr>
          <w:color w:val="6E6158"/>
        </w:rPr>
        <w:t>Statute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Limitations,</w:t>
      </w:r>
      <w:r>
        <w:rPr>
          <w:color w:val="6E6158"/>
          <w:spacing w:val="26"/>
        </w:rPr>
        <w:t> </w:t>
      </w:r>
      <w:r>
        <w:rPr>
          <w:color w:val="6E6158"/>
        </w:rPr>
        <w:t>April</w:t>
      </w:r>
      <w:r>
        <w:rPr>
          <w:color w:val="6E6158"/>
          <w:spacing w:val="26"/>
        </w:rPr>
        <w:t> </w:t>
      </w:r>
      <w:r>
        <w:rPr>
          <w:color w:val="6E6158"/>
        </w:rPr>
        <w:t>2026</w:t>
      </w:r>
    </w:p>
    <w:p>
      <w:pPr>
        <w:pStyle w:val="BodyText"/>
        <w:spacing w:before="131"/>
        <w:ind w:left="99"/>
      </w:pPr>
      <w:r>
        <w:rPr>
          <w:color w:val="6E6158"/>
        </w:rPr>
        <w:t>Featured,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50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emerging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leaders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2025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24,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left="99" w:right="404"/>
      </w:pPr>
      <w:r>
        <w:rPr>
          <w:color w:val="6E6158"/>
        </w:rPr>
        <w:t>Author, “Next Steps for Victims of Business Email Compromise Scams,” Daily Independent, October 15, 2024</w:t>
      </w:r>
    </w:p>
    <w:p>
      <w:pPr>
        <w:pStyle w:val="BodyText"/>
        <w:spacing w:line="302" w:lineRule="auto" w:before="124"/>
        <w:ind w:left="99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Next Steps for Victims of Business Email Compromise Scams</w:t>
        </w:r>
      </w:hyperlink>
      <w:r>
        <w:rPr>
          <w:color w:val="6E6158"/>
        </w:rPr>
        <w:t>,” Greater Phoenix InBusiness</w:t>
      </w:r>
      <w:r>
        <w:rPr>
          <w:color w:val="6E6158"/>
          <w:spacing w:val="40"/>
        </w:rPr>
        <w:t> </w:t>
      </w:r>
      <w:r>
        <w:rPr>
          <w:color w:val="6E6158"/>
        </w:rPr>
        <w:t>Magazine, October 10, 2024</w:t>
      </w:r>
    </w:p>
    <w:p>
      <w:pPr>
        <w:pStyle w:val="BodyText"/>
        <w:spacing w:line="292" w:lineRule="auto" w:before="112"/>
        <w:ind w:left="99" w:right="404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Help for victims of business email compromise scams</w:t>
        </w:r>
      </w:hyperlink>
      <w:r>
        <w:rPr>
          <w:color w:val="6E6158"/>
        </w:rPr>
        <w:t>,” Phoenix Business Journal, Arpil 1,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 w:right="404"/>
      </w:pPr>
      <w:hyperlink r:id="rId16">
        <w:r>
          <w:rPr>
            <w:color w:val="F5821F"/>
          </w:rPr>
          <w:t>Interview, “I wanted to be a lawyer so I could utilize my problem-solving and critical thinking</w:t>
        </w:r>
      </w:hyperlink>
      <w:r>
        <w:rPr>
          <w:color w:val="F5821F"/>
          <w:spacing w:val="40"/>
        </w:rPr>
        <w:t> </w:t>
      </w:r>
      <w:hyperlink r:id="rId16">
        <w:r>
          <w:rPr>
            <w:color w:val="F5821F"/>
          </w:rPr>
          <w:t>skills…” Fennemore Blog, October 12, 2023</w:t>
        </w:r>
      </w:hyperlink>
    </w:p>
    <w:p>
      <w:pPr>
        <w:pStyle w:val="BodyText"/>
        <w:spacing w:line="292" w:lineRule="auto" w:before="132"/>
        <w:ind w:left="99" w:right="404"/>
      </w:pPr>
      <w:hyperlink r:id="rId17">
        <w:r>
          <w:rPr>
            <w:color w:val="F5821F"/>
          </w:rPr>
          <w:t>Author, “Business Email Compromise Scams: When The Fraudster Has Fled, Who’s Stuck </w:t>
        </w:r>
        <w:r>
          <w:rPr>
            <w:color w:val="F5821F"/>
          </w:rPr>
          <w:t>Holding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The Bag?” Fennemore Client Alert, March 4, 2022</w:t>
        </w:r>
      </w:hyperlink>
    </w:p>
    <w:p>
      <w:pPr>
        <w:pStyle w:val="BodyText"/>
        <w:spacing w:before="123"/>
        <w:ind w:left="99"/>
      </w:pPr>
      <w:hyperlink r:id="rId18">
        <w:r>
          <w:rPr>
            <w:color w:val="FF8100"/>
          </w:rPr>
          <w:t>Quoted,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“Let’s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Celebrate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Random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Acts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Kindness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Day,”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February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18,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pStyle w:val="BodyText"/>
        <w:spacing w:line="302" w:lineRule="auto" w:before="174"/>
        <w:ind w:left="99" w:right="132"/>
      </w:pPr>
      <w:hyperlink r:id="rId19">
        <w:r>
          <w:rPr>
            <w:color w:val="FF8100"/>
          </w:rPr>
          <w:t>Co-author, “New Arizona LLC Act Now Governs All LLCs,” Fennemore Client Alert, September </w:t>
        </w:r>
        <w:r>
          <w:rPr>
            <w:color w:val="FF8100"/>
          </w:rPr>
          <w:t>10,</w:t>
        </w:r>
      </w:hyperlink>
      <w:r>
        <w:rPr>
          <w:color w:val="FF8100"/>
          <w:spacing w:val="40"/>
        </w:rPr>
        <w:t> </w:t>
      </w:r>
      <w:hyperlink r:id="rId19"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03"/>
        <w:ind w:left="99"/>
      </w:pPr>
      <w:hyperlink r:id="rId20">
        <w:r>
          <w:rPr>
            <w:color w:val="FF8100"/>
          </w:rPr>
          <w:t>Co-author,</w:t>
        </w:r>
        <w:r>
          <w:rPr>
            <w:color w:val="FF8100"/>
            <w:spacing w:val="4"/>
          </w:rPr>
          <w:t> </w:t>
        </w:r>
        <w:r>
          <w:rPr>
            <w:color w:val="FF8100"/>
          </w:rPr>
          <w:t>“Data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Breach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Defend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Trade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Secrets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Act,”</w:t>
        </w:r>
      </w:hyperlink>
      <w:r>
        <w:rPr>
          <w:color w:val="FF8100"/>
          <w:spacing w:val="5"/>
        </w:rPr>
        <w:t> </w:t>
      </w:r>
      <w:hyperlink r:id="rId20">
        <w:r>
          <w:rPr>
            <w:i/>
            <w:color w:val="FF8100"/>
            <w:sz w:val="20"/>
          </w:rPr>
          <w:t>Arizona</w:t>
        </w:r>
        <w:r>
          <w:rPr>
            <w:i/>
            <w:color w:val="FF8100"/>
            <w:spacing w:val="2"/>
            <w:sz w:val="20"/>
          </w:rPr>
          <w:t> </w:t>
        </w:r>
        <w:r>
          <w:rPr>
            <w:i/>
            <w:color w:val="FF8100"/>
            <w:sz w:val="20"/>
          </w:rPr>
          <w:t>Attorney,</w:t>
        </w:r>
      </w:hyperlink>
      <w:r>
        <w:rPr>
          <w:i/>
          <w:color w:val="FF8100"/>
          <w:spacing w:val="2"/>
          <w:sz w:val="20"/>
        </w:rPr>
        <w:t> </w:t>
      </w:r>
      <w:hyperlink r:id="rId20">
        <w:r>
          <w:rPr>
            <w:color w:val="FF8100"/>
          </w:rPr>
          <w:t>February</w:t>
        </w:r>
        <w:r>
          <w:rPr>
            <w:color w:val="FF8100"/>
            <w:spacing w:val="5"/>
          </w:rPr>
          <w:t> </w:t>
        </w:r>
        <w:r>
          <w:rPr>
            <w:color w:val="FF8100"/>
            <w:spacing w:val="-4"/>
          </w:rPr>
          <w:t>2019</w:t>
        </w:r>
      </w:hyperlink>
    </w:p>
    <w:p>
      <w:pPr>
        <w:pStyle w:val="BodyText"/>
        <w:spacing w:before="16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3362"/>
      </w:pPr>
      <w:r>
        <w:rPr>
          <w:color w:val="6E6158"/>
        </w:rPr>
        <w:t>Committee Member, Fiesta Bowl Yellow Jacket </w:t>
      </w:r>
      <w:r>
        <w:rPr>
          <w:color w:val="6E6158"/>
        </w:rPr>
        <w:t>Committee Committee Member, M3F Executive Committee</w:t>
      </w:r>
    </w:p>
    <w:p>
      <w:pPr>
        <w:pStyle w:val="BodyText"/>
        <w:spacing w:before="7"/>
        <w:ind w:left="99"/>
      </w:pPr>
      <w:r>
        <w:rPr>
          <w:color w:val="6E6158"/>
        </w:rPr>
        <w:t>TGen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Ambassador</w:t>
      </w:r>
    </w:p>
    <w:p>
      <w:pPr>
        <w:pStyle w:val="BodyText"/>
        <w:spacing w:before="162"/>
        <w:rPr>
          <w:sz w:val="24"/>
        </w:rPr>
      </w:pPr>
    </w:p>
    <w:p>
      <w:pPr>
        <w:pStyle w:val="Heading2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3"/>
      <w:ind w:left="99"/>
      <w:outlineLvl w:val="3"/>
    </w:pPr>
    <w:rPr>
      <w:rFonts w:ascii="Century Gothic" w:hAnsi="Century Gothic" w:eastAsia="Century Gothic" w:cs="Century Gothic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tburgoon@fennemorelaw.com" TargetMode="External"/><Relationship Id="rId11" Type="http://schemas.openxmlformats.org/officeDocument/2006/relationships/hyperlink" Target="https://www.fennemorelaw.com/time-does-not-run-against-the-king-arizona-supreme-court-confirms-government-entity-plaintiffs-are-not-bound-by-a-r-s-%c2%a7-12-821s-one-year-statute-of-limitati/" TargetMode="External"/><Relationship Id="rId12" Type="http://schemas.openxmlformats.org/officeDocument/2006/relationships/hyperlink" Target="https://www.fennemorelaw.com/from-stay-to-award-supreme-court-clarifies-federal-court-jurisdiction-after-arbitration/" TargetMode="External"/><Relationship Id="rId13" Type="http://schemas.openxmlformats.org/officeDocument/2006/relationships/hyperlink" Target="https://azbigmedia.com/business/50-emerging-leaders-in-arizona-law-for-2025/" TargetMode="External"/><Relationship Id="rId14" Type="http://schemas.openxmlformats.org/officeDocument/2006/relationships/hyperlink" Target="https://inbusinessphx.com/legal-regulations/next-steps-for-victims-of-business-email-compromise-scams" TargetMode="External"/><Relationship Id="rId15" Type="http://schemas.openxmlformats.org/officeDocument/2006/relationships/hyperlink" Target="https://www.bizjournals.com/phoenix/news/2024/04/01/help-for-business-email-compromise-scams.html" TargetMode="External"/><Relationship Id="rId16" Type="http://schemas.openxmlformats.org/officeDocument/2006/relationships/hyperlink" Target="https://www.fennemorelaw.com/i-wanted-to-be-a-lawyer-so-i-could-utilize-my-problem-solving-and-critical-thinking-skills-and-that-part-rings-true/" TargetMode="External"/><Relationship Id="rId17" Type="http://schemas.openxmlformats.org/officeDocument/2006/relationships/hyperlink" Target="https://www.fennemorelaw.com/business-email-compromise-scams-when-the-fraudster-has-fled-whos-stuck-holding-the-bag/" TargetMode="External"/><Relationship Id="rId18" Type="http://schemas.openxmlformats.org/officeDocument/2006/relationships/hyperlink" Target="https://www.fennemorelaw.com/insights/blogs/2021/let-s-celebrate-random-acts-of-kindness-day" TargetMode="External"/><Relationship Id="rId19" Type="http://schemas.openxmlformats.org/officeDocument/2006/relationships/hyperlink" Target="https://www.fennemorelaw.com/insights/newsletters/2020/new-arizona-llc-act-now-governs-all-llcs" TargetMode="External"/><Relationship Id="rId20" Type="http://schemas.openxmlformats.org/officeDocument/2006/relationships/hyperlink" Target="http://www.azattorneymag-digital.com/azattorneymag/201902/MobilePagedReplica.action?pm=2&amp;folio=38&amp;pg41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Taylor Burgoon - Fennemore</dc:title>
  <dcterms:created xsi:type="dcterms:W3CDTF">2026-08-27T15:16:26Z</dcterms:created>
  <dcterms:modified xsi:type="dcterms:W3CDTF">2026-08-27T15:16:26Z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