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ill Klain 8550web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3434" y="1369338"/>
                            <a:ext cx="209804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320675">
                                <a:moveTo>
                                  <a:pt x="209792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97925" y="320382"/>
                                </a:lnTo>
                                <a:lnTo>
                                  <a:pt x="2097925" y="315214"/>
                                </a:lnTo>
                                <a:close/>
                              </a:path>
                              <a:path w="2098040" h="320675">
                                <a:moveTo>
                                  <a:pt x="2097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97925" y="5168"/>
                                </a:lnTo>
                                <a:lnTo>
                                  <a:pt x="2097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05052" y="763308"/>
                            <a:ext cx="21101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WILLIAM G.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KLAIN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764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4544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56187" y="2226505"/>
                            <a:ext cx="14077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wklain@fennemorelaw.com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Bill Klain 8550web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53;top:-2501;width:3304;height:505" id="docshape5" coordorigin="6853,-2500" coordsize="3304,505" path="m10157,-2004l6853,-2004,6853,-1996,10157,-1996,10157,-2004xm10157,-2500l6853,-2500,6853,-2492,10157,-2492,10157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55;top:-3455;width:3323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WILLIAM G.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KLAIN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86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602.916.5308</w:t>
                        </w:r>
                      </w:p>
                    </w:txbxContent>
                  </v:textbox>
                  <w10:wrap type="none"/>
                </v:shape>
                <v:shape style="position:absolute;left:880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408;top:-1151;width:221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wklain@fennemorelaw.com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WILLIAM</w:t>
      </w:r>
      <w:r>
        <w:rPr>
          <w:color w:val="FF8100"/>
          <w:spacing w:val="7"/>
        </w:rPr>
        <w:t> </w:t>
      </w:r>
      <w:r>
        <w:rPr>
          <w:color w:val="FF8100"/>
        </w:rPr>
        <w:t>G.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KLAIN</w:t>
      </w:r>
    </w:p>
    <w:p>
      <w:pPr>
        <w:pStyle w:val="BodyText"/>
        <w:spacing w:line="295" w:lineRule="auto" w:before="147"/>
        <w:ind w:right="139"/>
      </w:pP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an</w:t>
      </w:r>
      <w:r>
        <w:rPr>
          <w:color w:val="6E6158"/>
          <w:spacing w:val="15"/>
        </w:rPr>
        <w:t> </w:t>
      </w:r>
      <w:r>
        <w:rPr>
          <w:color w:val="6E6158"/>
        </w:rPr>
        <w:t>impressive</w:t>
      </w:r>
      <w:r>
        <w:rPr>
          <w:color w:val="6E6158"/>
          <w:spacing w:val="15"/>
        </w:rPr>
        <w:t> </w:t>
      </w:r>
      <w:r>
        <w:rPr>
          <w:color w:val="6E6158"/>
        </w:rPr>
        <w:t>career</w:t>
      </w:r>
      <w:r>
        <w:rPr>
          <w:color w:val="6E6158"/>
          <w:spacing w:val="15"/>
        </w:rPr>
        <w:t> </w:t>
      </w:r>
      <w:r>
        <w:rPr>
          <w:color w:val="6E6158"/>
        </w:rPr>
        <w:t>spanning</w:t>
      </w:r>
      <w:r>
        <w:rPr>
          <w:color w:val="6E6158"/>
          <w:spacing w:val="15"/>
        </w:rPr>
        <w:t> </w:t>
      </w:r>
      <w:r>
        <w:rPr>
          <w:color w:val="6E6158"/>
        </w:rPr>
        <w:t>over</w:t>
      </w:r>
      <w:r>
        <w:rPr>
          <w:color w:val="6E6158"/>
          <w:spacing w:val="15"/>
        </w:rPr>
        <w:t> </w:t>
      </w:r>
      <w:r>
        <w:rPr>
          <w:color w:val="6E6158"/>
        </w:rPr>
        <w:t>30</w:t>
      </w:r>
      <w:r>
        <w:rPr>
          <w:color w:val="6E6158"/>
          <w:spacing w:val="15"/>
        </w:rPr>
        <w:t> </w:t>
      </w:r>
      <w:r>
        <w:rPr>
          <w:color w:val="6E6158"/>
        </w:rPr>
        <w:t>years,</w:t>
      </w:r>
      <w:r>
        <w:rPr>
          <w:color w:val="6E6158"/>
          <w:spacing w:val="15"/>
        </w:rPr>
        <w:t> </w:t>
      </w:r>
      <w:r>
        <w:rPr>
          <w:color w:val="6E6158"/>
        </w:rPr>
        <w:t>Bill</w:t>
      </w:r>
      <w:r>
        <w:rPr>
          <w:color w:val="6E6158"/>
          <w:spacing w:val="15"/>
        </w:rPr>
        <w:t> </w:t>
      </w:r>
      <w:r>
        <w:rPr>
          <w:color w:val="6E6158"/>
        </w:rPr>
        <w:t>Klain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5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broad</w:t>
      </w:r>
      <w:r>
        <w:rPr>
          <w:color w:val="6E6158"/>
          <w:spacing w:val="15"/>
        </w:rPr>
        <w:t> </w:t>
      </w:r>
      <w:r>
        <w:rPr>
          <w:color w:val="6E6158"/>
        </w:rPr>
        <w:t>range of</w:t>
      </w:r>
      <w:r>
        <w:rPr>
          <w:color w:val="6E6158"/>
          <w:spacing w:val="33"/>
        </w:rPr>
        <w:t> </w:t>
      </w:r>
      <w:r>
        <w:rPr>
          <w:color w:val="6E6158"/>
        </w:rPr>
        <w:t>business</w:t>
      </w:r>
      <w:r>
        <w:rPr>
          <w:color w:val="6E6158"/>
          <w:spacing w:val="33"/>
        </w:rPr>
        <w:t> </w:t>
      </w:r>
      <w:r>
        <w:rPr>
          <w:color w:val="6E6158"/>
        </w:rPr>
        <w:t>disputes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formation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governance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corporations,</w:t>
      </w:r>
      <w:r>
        <w:rPr>
          <w:color w:val="6E6158"/>
          <w:spacing w:val="33"/>
        </w:rPr>
        <w:t> </w:t>
      </w:r>
      <w:r>
        <w:rPr>
          <w:color w:val="6E6158"/>
        </w:rPr>
        <w:t>partnerships</w:t>
      </w:r>
      <w:r>
        <w:rPr>
          <w:color w:val="6E6158"/>
          <w:spacing w:val="33"/>
        </w:rPr>
        <w:t> </w:t>
      </w:r>
      <w:r>
        <w:rPr>
          <w:color w:val="6E6158"/>
        </w:rPr>
        <w:t>and limited liability companies. A distinguished figure in the fields of Arizona commercial litigation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corporate law, Bill helps his clients successfully navigate and resolve their disputes involving</w:t>
      </w:r>
      <w:r>
        <w:rPr>
          <w:color w:val="6E6158"/>
          <w:spacing w:val="80"/>
        </w:rPr>
        <w:t> </w:t>
      </w:r>
      <w:r>
        <w:rPr>
          <w:color w:val="6E6158"/>
        </w:rPr>
        <w:t>business divorces and dissolutions, fiduciary breaches, business torts, sales contracts, buy-sell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non-compete,</w:t>
      </w:r>
      <w:r>
        <w:rPr>
          <w:color w:val="6E6158"/>
          <w:spacing w:val="40"/>
        </w:rPr>
        <w:t> </w:t>
      </w:r>
      <w:r>
        <w:rPr>
          <w:color w:val="6E6158"/>
        </w:rPr>
        <w:t>non-solicitation,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non-disclosure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civil</w:t>
      </w:r>
      <w:r>
        <w:rPr>
          <w:color w:val="6E6158"/>
          <w:spacing w:val="40"/>
        </w:rPr>
        <w:t> </w:t>
      </w:r>
      <w:r>
        <w:rPr>
          <w:color w:val="6E6158"/>
        </w:rPr>
        <w:t>appeals,</w:t>
      </w:r>
      <w:r>
        <w:rPr>
          <w:color w:val="6E6158"/>
          <w:spacing w:val="40"/>
        </w:rPr>
        <w:t> </w:t>
      </w:r>
      <w:r>
        <w:rPr>
          <w:color w:val="6E6158"/>
        </w:rPr>
        <w:t>and a variety of other complex civil legal matters. He is also an experienced private mediator and</w:t>
      </w:r>
      <w:r>
        <w:rPr>
          <w:color w:val="6E6158"/>
          <w:spacing w:val="40"/>
        </w:rPr>
        <w:t> </w:t>
      </w:r>
      <w:r>
        <w:rPr>
          <w:color w:val="6E6158"/>
        </w:rPr>
        <w:t>arbitrator, helping parties reach private resolutions of their civil matters,</w:t>
      </w:r>
    </w:p>
    <w:p>
      <w:pPr>
        <w:pStyle w:val="BodyText"/>
        <w:spacing w:line="292" w:lineRule="auto" w:before="206"/>
        <w:ind w:right="879"/>
        <w:jc w:val="both"/>
      </w:pPr>
      <w:r>
        <w:rPr>
          <w:color w:val="6E6158"/>
        </w:rPr>
        <w:t>Bill’s practice is defined by his dedication and commitment to his clients, impressive </w:t>
      </w:r>
      <w:r>
        <w:rPr>
          <w:color w:val="6E6158"/>
        </w:rPr>
        <w:t>legal knowledge, and extensive courtroom and trial experience. His track record of success in commercial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earned</w:t>
      </w:r>
      <w:r>
        <w:rPr>
          <w:color w:val="6E6158"/>
          <w:spacing w:val="31"/>
        </w:rPr>
        <w:t> </w:t>
      </w:r>
      <w:r>
        <w:rPr>
          <w:color w:val="6E6158"/>
        </w:rPr>
        <w:t>him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reputation</w:t>
      </w:r>
      <w:r>
        <w:rPr>
          <w:color w:val="6E6158"/>
          <w:spacing w:val="31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formidable</w:t>
      </w:r>
      <w:r>
        <w:rPr>
          <w:color w:val="6E6158"/>
          <w:spacing w:val="31"/>
        </w:rPr>
        <w:t> </w:t>
      </w:r>
      <w:r>
        <w:rPr>
          <w:color w:val="6E6158"/>
        </w:rPr>
        <w:t>advocate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those</w:t>
      </w:r>
    </w:p>
    <w:p>
      <w:pPr>
        <w:pStyle w:val="BodyText"/>
        <w:spacing w:line="302" w:lineRule="auto" w:before="2"/>
      </w:pPr>
      <w:r>
        <w:rPr>
          <w:color w:val="6E6158"/>
        </w:rPr>
        <w:t>navigating the intricate landscape of business disputes. Bill’s deep understanding of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structures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governance</w:t>
      </w:r>
      <w:r>
        <w:rPr>
          <w:color w:val="6E6158"/>
          <w:spacing w:val="32"/>
        </w:rPr>
        <w:t> </w:t>
      </w:r>
      <w:r>
        <w:rPr>
          <w:color w:val="6E6158"/>
        </w:rPr>
        <w:t>enables</w:t>
      </w:r>
      <w:r>
        <w:rPr>
          <w:color w:val="6E6158"/>
          <w:spacing w:val="32"/>
        </w:rPr>
        <w:t> </w:t>
      </w:r>
      <w:r>
        <w:rPr>
          <w:color w:val="6E6158"/>
        </w:rPr>
        <w:t>his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establish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maintain</w:t>
      </w:r>
      <w:r>
        <w:rPr>
          <w:color w:val="6E6158"/>
          <w:spacing w:val="32"/>
        </w:rPr>
        <w:t> </w:t>
      </w:r>
      <w:r>
        <w:rPr>
          <w:color w:val="6E6158"/>
        </w:rPr>
        <w:t>their</w:t>
      </w:r>
      <w:r>
        <w:rPr>
          <w:color w:val="6E6158"/>
          <w:spacing w:val="32"/>
        </w:rPr>
        <w:t> </w:t>
      </w:r>
      <w:r>
        <w:rPr>
          <w:color w:val="6E6158"/>
        </w:rPr>
        <w:t>enterprises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</w:p>
    <w:p>
      <w:pPr>
        <w:pStyle w:val="BodyText"/>
        <w:spacing w:line="224" w:lineRule="exact"/>
      </w:pPr>
      <w:r>
        <w:rPr>
          <w:color w:val="6E6158"/>
          <w:spacing w:val="-2"/>
        </w:rPr>
        <w:t>confidence.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366"/>
      </w:pPr>
      <w:r>
        <w:rPr>
          <w:color w:val="6E6158"/>
        </w:rPr>
        <w:t>Bill’s commitment to the legal profession is further exemplified by his active involvement in</w:t>
      </w:r>
      <w:r>
        <w:rPr>
          <w:color w:val="6E6158"/>
          <w:spacing w:val="40"/>
        </w:rPr>
        <w:t> </w:t>
      </w:r>
      <w:r>
        <w:rPr>
          <w:color w:val="6E6158"/>
        </w:rPr>
        <w:t>Arizona’s legal community. He serves as a member of the Arizona Judicial Council’s </w:t>
      </w:r>
      <w:r>
        <w:rPr>
          <w:color w:val="6E6158"/>
        </w:rPr>
        <w:t>Committee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Superior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State</w:t>
      </w:r>
      <w:r>
        <w:rPr>
          <w:color w:val="6E6158"/>
          <w:spacing w:val="29"/>
        </w:rPr>
        <w:t> </w:t>
      </w:r>
      <w:r>
        <w:rPr>
          <w:color w:val="6E6158"/>
        </w:rPr>
        <w:t>Bar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Arizona’s</w:t>
      </w:r>
      <w:r>
        <w:rPr>
          <w:color w:val="6E6158"/>
          <w:spacing w:val="29"/>
        </w:rPr>
        <w:t> </w:t>
      </w:r>
      <w:r>
        <w:rPr>
          <w:color w:val="6E6158"/>
        </w:rPr>
        <w:t>Civil</w:t>
      </w:r>
      <w:r>
        <w:rPr>
          <w:color w:val="6E6158"/>
          <w:spacing w:val="29"/>
        </w:rPr>
        <w:t> </w:t>
      </w:r>
      <w:r>
        <w:rPr>
          <w:color w:val="6E6158"/>
        </w:rPr>
        <w:t>Practice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Procedure</w:t>
      </w:r>
      <w:r>
        <w:rPr>
          <w:color w:val="6E6158"/>
          <w:spacing w:val="29"/>
        </w:rPr>
        <w:t> </w:t>
      </w:r>
      <w:r>
        <w:rPr>
          <w:color w:val="6E6158"/>
        </w:rPr>
        <w:t>Committee.</w:t>
      </w:r>
    </w:p>
    <w:p>
      <w:pPr>
        <w:pStyle w:val="BodyText"/>
        <w:spacing w:line="292" w:lineRule="auto"/>
        <w:ind w:right="366"/>
      </w:pPr>
      <w:r>
        <w:rPr>
          <w:color w:val="6E6158"/>
        </w:rPr>
        <w:t>Previously, he chaired the Arizona Supreme Court’s Task Force on the Rules of Civil Procedure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served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Court’s</w:t>
      </w:r>
      <w:r>
        <w:rPr>
          <w:color w:val="6E6158"/>
          <w:spacing w:val="29"/>
        </w:rPr>
        <w:t> </w:t>
      </w:r>
      <w:r>
        <w:rPr>
          <w:color w:val="6E6158"/>
        </w:rPr>
        <w:t>Advisory</w:t>
      </w:r>
      <w:r>
        <w:rPr>
          <w:color w:val="6E6158"/>
          <w:spacing w:val="29"/>
        </w:rPr>
        <w:t> </w:t>
      </w:r>
      <w:r>
        <w:rPr>
          <w:color w:val="6E6158"/>
        </w:rPr>
        <w:t>Committee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Rules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Evidence,</w:t>
      </w:r>
      <w:r>
        <w:rPr>
          <w:color w:val="6E6158"/>
          <w:spacing w:val="29"/>
        </w:rPr>
        <w:t> </w:t>
      </w:r>
      <w:r>
        <w:rPr>
          <w:color w:val="6E6158"/>
        </w:rPr>
        <w:t>Civil</w:t>
      </w:r>
      <w:r>
        <w:rPr>
          <w:color w:val="6E6158"/>
          <w:spacing w:val="29"/>
        </w:rPr>
        <w:t> </w:t>
      </w:r>
      <w:r>
        <w:rPr>
          <w:color w:val="6E6158"/>
        </w:rPr>
        <w:t>Justice</w:t>
      </w:r>
      <w:r>
        <w:rPr>
          <w:color w:val="6E6158"/>
          <w:spacing w:val="29"/>
        </w:rPr>
        <w:t> </w:t>
      </w:r>
      <w:r>
        <w:rPr>
          <w:color w:val="6E6158"/>
        </w:rPr>
        <w:t>Reform</w:t>
      </w:r>
    </w:p>
    <w:p>
      <w:pPr>
        <w:pStyle w:val="BodyText"/>
        <w:spacing w:line="292" w:lineRule="auto" w:before="5"/>
        <w:ind w:right="366"/>
      </w:pPr>
      <w:r>
        <w:rPr>
          <w:color w:val="6E6158"/>
        </w:rPr>
        <w:t>Committee, and Business Court Advisory Committee, which developed Arizona’s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Court. His involvement in these initiatives has provided Bill with a deep understanding of civil</w:t>
      </w:r>
      <w:r>
        <w:rPr>
          <w:color w:val="6E6158"/>
          <w:spacing w:val="40"/>
        </w:rPr>
        <w:t> </w:t>
      </w:r>
      <w:r>
        <w:rPr>
          <w:color w:val="6E6158"/>
        </w:rPr>
        <w:t>procedure and processes which he brings to bear for his clients in their matters.</w:t>
      </w:r>
    </w:p>
    <w:p>
      <w:pPr>
        <w:pStyle w:val="BodyText"/>
        <w:spacing w:line="295" w:lineRule="auto" w:before="198"/>
        <w:ind w:right="384"/>
      </w:pPr>
      <w:r>
        <w:rPr>
          <w:color w:val="6E6158"/>
        </w:rPr>
        <w:t>With Bill Klain as your attorney, you gain a trusted legal partner who combines a wealth of</w:t>
      </w:r>
      <w:r>
        <w:rPr>
          <w:color w:val="6E6158"/>
          <w:spacing w:val="40"/>
        </w:rPr>
        <w:t> </w:t>
      </w:r>
      <w:r>
        <w:rPr>
          <w:color w:val="6E6158"/>
        </w:rPr>
        <w:t>experience with a tireless devotion to his clients. Whether you are facing complex litigation or</w:t>
      </w:r>
      <w:r>
        <w:rPr>
          <w:color w:val="6E6158"/>
          <w:spacing w:val="40"/>
        </w:rPr>
        <w:t> </w:t>
      </w:r>
      <w:r>
        <w:rPr>
          <w:color w:val="6E6158"/>
        </w:rPr>
        <w:t>require legal guidance in your business endeavors, Bill is an advocate and counselor you </w:t>
      </w:r>
      <w:r>
        <w:rPr>
          <w:color w:val="6E6158"/>
        </w:rPr>
        <w:t>can</w:t>
      </w:r>
      <w:r>
        <w:rPr>
          <w:color w:val="6E6158"/>
          <w:spacing w:val="40"/>
        </w:rPr>
        <w:t> </w:t>
      </w:r>
      <w:r>
        <w:rPr>
          <w:color w:val="6E6158"/>
        </w:rPr>
        <w:t>depend</w:t>
      </w:r>
      <w:r>
        <w:rPr>
          <w:color w:val="6E6158"/>
          <w:spacing w:val="25"/>
        </w:rPr>
        <w:t> </w:t>
      </w:r>
      <w:r>
        <w:rPr>
          <w:color w:val="6E6158"/>
        </w:rPr>
        <w:t>on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protect</w:t>
      </w:r>
      <w:r>
        <w:rPr>
          <w:color w:val="6E6158"/>
          <w:spacing w:val="25"/>
        </w:rPr>
        <w:t> </w:t>
      </w:r>
      <w:r>
        <w:rPr>
          <w:color w:val="6E6158"/>
        </w:rPr>
        <w:t>your</w:t>
      </w:r>
      <w:r>
        <w:rPr>
          <w:color w:val="6E6158"/>
          <w:spacing w:val="25"/>
        </w:rPr>
        <w:t> </w:t>
      </w:r>
      <w:r>
        <w:rPr>
          <w:color w:val="6E6158"/>
        </w:rPr>
        <w:t>interests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guide</w:t>
      </w:r>
      <w:r>
        <w:rPr>
          <w:color w:val="6E6158"/>
          <w:spacing w:val="25"/>
        </w:rPr>
        <w:t> </w:t>
      </w:r>
      <w:r>
        <w:rPr>
          <w:color w:val="6E6158"/>
        </w:rPr>
        <w:t>you</w:t>
      </w:r>
      <w:r>
        <w:rPr>
          <w:color w:val="6E6158"/>
          <w:spacing w:val="25"/>
        </w:rPr>
        <w:t> </w:t>
      </w:r>
      <w:r>
        <w:rPr>
          <w:color w:val="6E6158"/>
        </w:rPr>
        <w:t>through</w:t>
      </w:r>
      <w:r>
        <w:rPr>
          <w:color w:val="6E6158"/>
          <w:spacing w:val="25"/>
        </w:rPr>
        <w:t> </w:t>
      </w:r>
      <w:r>
        <w:rPr>
          <w:color w:val="6E6158"/>
        </w:rPr>
        <w:t>every</w:t>
      </w:r>
      <w:r>
        <w:rPr>
          <w:color w:val="6E6158"/>
          <w:spacing w:val="25"/>
        </w:rPr>
        <w:t> </w:t>
      </w:r>
      <w:r>
        <w:rPr>
          <w:color w:val="6E6158"/>
        </w:rPr>
        <w:t>step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process.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Denver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Richmond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5677"/>
      </w:pPr>
      <w:r>
        <w:rPr>
          <w:color w:val="6E6158"/>
        </w:rPr>
        <w:t>Business divorces and </w:t>
      </w:r>
      <w:r>
        <w:rPr>
          <w:color w:val="6E6158"/>
        </w:rPr>
        <w:t>dissolutions Fiduciary breaches</w:t>
      </w:r>
    </w:p>
    <w:p>
      <w:pPr>
        <w:pStyle w:val="BodyText"/>
        <w:spacing w:line="427" w:lineRule="auto"/>
        <w:ind w:right="7813"/>
      </w:pPr>
      <w:r>
        <w:rPr>
          <w:color w:val="6E6158"/>
        </w:rPr>
        <w:t>Business torts Sales </w:t>
      </w:r>
      <w:r>
        <w:rPr>
          <w:color w:val="6E6158"/>
        </w:rPr>
        <w:t>contracts</w:t>
      </w:r>
    </w:p>
    <w:p>
      <w:pPr>
        <w:pStyle w:val="BodyText"/>
        <w:spacing w:line="420" w:lineRule="auto"/>
        <w:ind w:right="7053"/>
      </w:pPr>
      <w:r>
        <w:rPr>
          <w:color w:val="6E6158"/>
        </w:rPr>
        <w:t>Buy-Sell </w:t>
      </w:r>
      <w:r>
        <w:rPr>
          <w:color w:val="6E6158"/>
        </w:rPr>
        <w:t>agreements Civil appeals</w:t>
      </w:r>
    </w:p>
    <w:p>
      <w:pPr>
        <w:pStyle w:val="BodyText"/>
        <w:spacing w:line="420" w:lineRule="auto"/>
        <w:ind w:right="2781"/>
      </w:pPr>
      <w:r>
        <w:rPr>
          <w:color w:val="6E6158"/>
        </w:rPr>
        <w:t>Non-compete, non-solicitation, and non-disclosure </w:t>
      </w:r>
      <w:r>
        <w:rPr>
          <w:color w:val="6E6158"/>
        </w:rPr>
        <w:t>agreements Various other commercial disputes</w:t>
      </w:r>
    </w:p>
    <w:p>
      <w:pPr>
        <w:pStyle w:val="BodyText"/>
        <w:spacing w:line="422" w:lineRule="auto"/>
        <w:ind w:right="7813"/>
      </w:pPr>
      <w:r>
        <w:rPr>
          <w:color w:val="6E6158"/>
          <w:spacing w:val="-2"/>
        </w:rPr>
        <w:t>Receiverships Injunctions </w:t>
      </w:r>
      <w:r>
        <w:rPr>
          <w:color w:val="6E6158"/>
        </w:rPr>
        <w:t>Trade Secrets</w:t>
      </w:r>
    </w:p>
    <w:p>
      <w:pPr>
        <w:pStyle w:val="BodyText"/>
        <w:spacing w:line="544" w:lineRule="auto"/>
        <w:ind w:right="5677"/>
      </w:pPr>
      <w:r>
        <w:rPr>
          <w:color w:val="6E6158"/>
        </w:rPr>
        <w:t>Failed commercial </w:t>
      </w:r>
      <w:r>
        <w:rPr>
          <w:color w:val="6E6158"/>
        </w:rPr>
        <w:t>transactions Business Litigation</w:t>
      </w:r>
    </w:p>
    <w:p>
      <w:pPr>
        <w:pStyle w:val="Heading2"/>
        <w:spacing w:before="15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 Lawyer – Business Litigation,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420" w:lineRule="auto" w:before="180"/>
        <w:ind w:right="994"/>
      </w:pPr>
      <w:r>
        <w:rPr>
          <w:color w:val="6E6158"/>
        </w:rPr>
        <w:t>Best Lawyers in America®, Lawyer of the Year, Bet-the-Company Litigation, </w:t>
      </w:r>
      <w:r>
        <w:rPr>
          <w:color w:val="6E6158"/>
        </w:rPr>
        <w:t>2025 Southwest Super Lawyers, Business Litigation, 2012-2026</w:t>
      </w:r>
    </w:p>
    <w:p>
      <w:pPr>
        <w:pStyle w:val="BodyText"/>
        <w:spacing w:line="231" w:lineRule="exact"/>
      </w:pPr>
      <w:r>
        <w:rPr>
          <w:color w:val="6E6158"/>
        </w:rPr>
        <w:t>Southwest</w:t>
      </w:r>
      <w:r>
        <w:rPr>
          <w:color w:val="6E6158"/>
          <w:spacing w:val="12"/>
        </w:rPr>
        <w:t> </w:t>
      </w:r>
      <w:r>
        <w:rPr>
          <w:color w:val="6E6158"/>
        </w:rPr>
        <w:t>Super</w:t>
      </w:r>
      <w:r>
        <w:rPr>
          <w:color w:val="6E6158"/>
          <w:spacing w:val="13"/>
        </w:rPr>
        <w:t> </w:t>
      </w:r>
      <w:r>
        <w:rPr>
          <w:color w:val="6E6158"/>
        </w:rPr>
        <w:t>Lawyers:</w:t>
      </w:r>
      <w:r>
        <w:rPr>
          <w:color w:val="6E6158"/>
          <w:spacing w:val="13"/>
        </w:rPr>
        <w:t> </w:t>
      </w:r>
      <w:r>
        <w:rPr>
          <w:color w:val="6E6158"/>
        </w:rPr>
        <w:t>“Top</w:t>
      </w:r>
      <w:r>
        <w:rPr>
          <w:color w:val="6E6158"/>
          <w:spacing w:val="13"/>
        </w:rPr>
        <w:t> </w:t>
      </w:r>
      <w:r>
        <w:rPr>
          <w:color w:val="6E6158"/>
        </w:rPr>
        <w:t>50</w:t>
      </w:r>
      <w:r>
        <w:rPr>
          <w:color w:val="6E6158"/>
          <w:spacing w:val="13"/>
        </w:rPr>
        <w:t> </w:t>
      </w:r>
      <w:r>
        <w:rPr>
          <w:color w:val="6E6158"/>
        </w:rPr>
        <w:t>Arizona,”</w:t>
      </w:r>
      <w:r>
        <w:rPr>
          <w:color w:val="6E6158"/>
          <w:spacing w:val="13"/>
        </w:rPr>
        <w:t> </w:t>
      </w:r>
      <w:r>
        <w:rPr>
          <w:color w:val="6E6158"/>
        </w:rPr>
        <w:t>2018,</w:t>
      </w:r>
      <w:r>
        <w:rPr>
          <w:color w:val="6E6158"/>
          <w:spacing w:val="13"/>
        </w:rPr>
        <w:t> </w:t>
      </w:r>
      <w:r>
        <w:rPr>
          <w:color w:val="6E6158"/>
        </w:rPr>
        <w:t>2022-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82"/>
        <w:ind w:right="514"/>
      </w:pPr>
      <w:r>
        <w:rPr>
          <w:color w:val="6E6158"/>
        </w:rPr>
        <w:t>The Best Lawyers in America®, Commercial Litigation, Bet-the-Company Litigation, 2015-</w:t>
      </w:r>
      <w:r>
        <w:rPr>
          <w:color w:val="6E6158"/>
        </w:rPr>
        <w:t>2027</w:t>
      </w:r>
      <w:r>
        <w:rPr>
          <w:color w:val="6E6158"/>
          <w:spacing w:val="40"/>
        </w:rPr>
        <w:t> </w:t>
      </w:r>
      <w:r>
        <w:rPr>
          <w:color w:val="6E6158"/>
        </w:rPr>
        <w:t>AV-Preeminent® Rating, Martindale-Hubbell®</w:t>
      </w:r>
    </w:p>
    <w:p>
      <w:pPr>
        <w:pStyle w:val="BodyText"/>
        <w:spacing w:line="231" w:lineRule="exact"/>
      </w:pPr>
      <w:r>
        <w:rPr>
          <w:color w:val="6E6158"/>
        </w:rPr>
        <w:t>Top</w:t>
      </w:r>
      <w:r>
        <w:rPr>
          <w:color w:val="6E6158"/>
          <w:spacing w:val="9"/>
        </w:rPr>
        <w:t> </w:t>
      </w:r>
      <w:r>
        <w:rPr>
          <w:color w:val="6E6158"/>
        </w:rPr>
        <w:t>100</w:t>
      </w:r>
      <w:r>
        <w:rPr>
          <w:color w:val="6E6158"/>
          <w:spacing w:val="10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2019,</w:t>
      </w:r>
      <w:r>
        <w:rPr>
          <w:color w:val="6E6158"/>
          <w:spacing w:val="10"/>
        </w:rPr>
        <w:t> </w:t>
      </w:r>
      <w:r>
        <w:rPr>
          <w:color w:val="6E6158"/>
        </w:rPr>
        <w:t>2023,</w:t>
      </w:r>
      <w:r>
        <w:rPr>
          <w:color w:val="6E6158"/>
          <w:spacing w:val="10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“Top</w:t>
      </w:r>
      <w:r>
        <w:rPr>
          <w:color w:val="6E6158"/>
          <w:spacing w:val="8"/>
        </w:rPr>
        <w:t> </w:t>
      </w:r>
      <w:r>
        <w:rPr>
          <w:color w:val="6E6158"/>
        </w:rPr>
        <w:t>Lawyer,”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9"/>
        </w:rPr>
        <w:t> </w:t>
      </w:r>
      <w:r>
        <w:rPr>
          <w:color w:val="6E6158"/>
        </w:rPr>
        <w:t>Magazine,</w:t>
      </w:r>
      <w:r>
        <w:rPr>
          <w:color w:val="6E6158"/>
          <w:spacing w:val="9"/>
        </w:rPr>
        <w:t> </w:t>
      </w:r>
      <w:r>
        <w:rPr>
          <w:color w:val="6E6158"/>
        </w:rPr>
        <w:t>2022,</w:t>
      </w:r>
      <w:r>
        <w:rPr>
          <w:color w:val="6E6158"/>
          <w:spacing w:val="8"/>
        </w:rPr>
        <w:t> </w:t>
      </w:r>
      <w:r>
        <w:rPr>
          <w:color w:val="6E6158"/>
        </w:rPr>
        <w:t>2023,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420" w:lineRule="auto" w:before="182"/>
        <w:ind w:right="1928"/>
      </w:pPr>
      <w:r>
        <w:rPr>
          <w:color w:val="6E6158"/>
        </w:rPr>
        <w:t>Chief Justice’s Outstanding Contribution to the Arizona Courts Award, </w:t>
      </w:r>
      <w:r>
        <w:rPr>
          <w:color w:val="6E6158"/>
        </w:rPr>
        <w:t>2016 State Bar of Arizona “Volunteer of the Month,” April 2016</w:t>
      </w:r>
    </w:p>
    <w:p>
      <w:pPr>
        <w:pStyle w:val="BodyText"/>
        <w:spacing w:line="420" w:lineRule="auto"/>
        <w:ind w:right="3409"/>
      </w:pPr>
      <w:r>
        <w:rPr>
          <w:color w:val="6E6158"/>
        </w:rPr>
        <w:t>Arizona’s Finest Lawyers (Sustaining Member), 2014-</w:t>
      </w:r>
      <w:r>
        <w:rPr>
          <w:color w:val="6E6158"/>
        </w:rPr>
        <w:t>present State Bar of Arizona “Member of the Year,” 2013</w:t>
      </w:r>
    </w:p>
    <w:p>
      <w:pPr>
        <w:pStyle w:val="BodyText"/>
        <w:spacing w:before="5"/>
      </w:pP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Excellence,</w:t>
      </w:r>
      <w:r>
        <w:rPr>
          <w:color w:val="6E6158"/>
          <w:spacing w:val="12"/>
        </w:rPr>
        <w:t> </w:t>
      </w:r>
      <w:r>
        <w:rPr>
          <w:color w:val="6E6158"/>
        </w:rPr>
        <w:t>Scottsdale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73"/>
      </w:pP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Arizona:</w:t>
      </w:r>
      <w:r>
        <w:rPr>
          <w:color w:val="6E6158"/>
          <w:spacing w:val="12"/>
        </w:rPr>
        <w:t> </w:t>
      </w:r>
      <w:r>
        <w:rPr>
          <w:color w:val="6E6158"/>
        </w:rPr>
        <w:t>President’s</w:t>
      </w:r>
      <w:r>
        <w:rPr>
          <w:color w:val="6E6158"/>
          <w:spacing w:val="11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(Contributions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Procedure),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Featured,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100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Panelist,</w:t>
      </w:r>
      <w:r>
        <w:rPr>
          <w:color w:val="6E6158"/>
          <w:spacing w:val="8"/>
        </w:rPr>
        <w:t> </w:t>
      </w:r>
      <w:r>
        <w:rPr>
          <w:color w:val="6E6158"/>
        </w:rPr>
        <w:t>“AI:</w:t>
      </w:r>
      <w:r>
        <w:rPr>
          <w:color w:val="6E6158"/>
          <w:spacing w:val="71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Good,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Bad,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Ugly,”</w:t>
      </w:r>
      <w:r>
        <w:rPr>
          <w:color w:val="6E6158"/>
          <w:spacing w:val="71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38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Disgorgement Without Harm? Ninth Circuit Sets New Stakes for Public Companies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and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Investors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Across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Western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United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States</w:t>
        </w:r>
      </w:hyperlink>
      <w:r>
        <w:rPr>
          <w:color w:val="6E6158"/>
        </w:rPr>
        <w:t>,”</w:t>
      </w:r>
      <w:r>
        <w:rPr>
          <w:color w:val="6E6158"/>
          <w:spacing w:val="33"/>
        </w:rPr>
        <w:t> </w:t>
      </w:r>
      <w:r>
        <w:rPr>
          <w:color w:val="6E6158"/>
        </w:rPr>
        <w:t>Fennemore</w:t>
      </w:r>
      <w:r>
        <w:rPr>
          <w:color w:val="6E6158"/>
          <w:spacing w:val="33"/>
        </w:rPr>
        <w:t> </w:t>
      </w:r>
      <w:r>
        <w:rPr>
          <w:color w:val="6E6158"/>
        </w:rPr>
        <w:t>Blog,</w:t>
      </w:r>
      <w:r>
        <w:rPr>
          <w:color w:val="6E6158"/>
          <w:spacing w:val="33"/>
        </w:rPr>
        <w:t> </w:t>
      </w:r>
      <w:r>
        <w:rPr>
          <w:color w:val="6E6158"/>
        </w:rPr>
        <w:t>November</w:t>
      </w:r>
      <w:r>
        <w:rPr>
          <w:color w:val="6E6158"/>
          <w:spacing w:val="33"/>
        </w:rPr>
        <w:t> </w:t>
      </w:r>
      <w:r>
        <w:rPr>
          <w:color w:val="6E6158"/>
        </w:rPr>
        <w:t>24,</w:t>
      </w:r>
      <w:r>
        <w:rPr>
          <w:color w:val="6E6158"/>
          <w:spacing w:val="33"/>
        </w:rPr>
        <w:t> </w:t>
      </w:r>
      <w:r>
        <w:rPr>
          <w:color w:val="6E6158"/>
        </w:rPr>
        <w:t>2025</w:t>
      </w:r>
    </w:p>
    <w:p>
      <w:pPr>
        <w:pStyle w:val="BodyText"/>
        <w:spacing w:before="124"/>
      </w:pPr>
      <w:r>
        <w:rPr>
          <w:color w:val="6E6158"/>
        </w:rPr>
        <w:t>Faculty,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Advocacy,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2023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3"/>
      </w:pPr>
      <w:r>
        <w:rPr>
          <w:color w:val="6E6158"/>
        </w:rPr>
        <w:t>Panelist,</w:t>
      </w:r>
      <w:r>
        <w:rPr>
          <w:color w:val="6E6158"/>
          <w:spacing w:val="12"/>
        </w:rPr>
        <w:t> </w:t>
      </w:r>
      <w:r>
        <w:rPr>
          <w:color w:val="6E6158"/>
        </w:rPr>
        <w:t>“Current</w:t>
      </w:r>
      <w:r>
        <w:rPr>
          <w:color w:val="6E6158"/>
          <w:spacing w:val="12"/>
        </w:rPr>
        <w:t> </w:t>
      </w:r>
      <w:r>
        <w:rPr>
          <w:color w:val="6E6158"/>
        </w:rPr>
        <w:t>Issues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Litigation,”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Convention,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3"/>
        <w:ind w:right="366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Arizona’s Commercial Court is tailor-made for business litigants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April 4, 2025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Top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100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AZBusiness</w:t>
      </w:r>
      <w:r>
        <w:rPr>
          <w:color w:val="6E6158"/>
          <w:spacing w:val="15"/>
        </w:rPr>
        <w:t> </w:t>
      </w:r>
      <w:r>
        <w:rPr>
          <w:color w:val="6E6158"/>
        </w:rPr>
        <w:t>Magazine,</w:t>
      </w:r>
      <w:r>
        <w:rPr>
          <w:color w:val="6E6158"/>
          <w:spacing w:val="14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Panelist,</w:t>
      </w:r>
      <w:r>
        <w:rPr>
          <w:color w:val="6E6158"/>
          <w:spacing w:val="12"/>
        </w:rPr>
        <w:t> </w:t>
      </w:r>
      <w:r>
        <w:rPr>
          <w:color w:val="6E6158"/>
        </w:rPr>
        <w:t>2025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</w:t>
      </w:r>
      <w:r>
        <w:rPr>
          <w:color w:val="6E6158"/>
          <w:spacing w:val="12"/>
        </w:rPr>
        <w:t> </w:t>
      </w:r>
      <w:r>
        <w:rPr>
          <w:color w:val="6E6158"/>
        </w:rPr>
        <w:t>Update,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82"/>
      </w:pPr>
      <w:r>
        <w:rPr>
          <w:color w:val="6E6158"/>
        </w:rPr>
        <w:t>Panelist,</w:t>
      </w:r>
      <w:r>
        <w:rPr>
          <w:color w:val="6E6158"/>
          <w:spacing w:val="13"/>
        </w:rPr>
        <w:t> </w:t>
      </w:r>
      <w:r>
        <w:rPr>
          <w:color w:val="6E6158"/>
        </w:rPr>
        <w:t>2024</w:t>
      </w:r>
      <w:r>
        <w:rPr>
          <w:color w:val="6E6158"/>
          <w:spacing w:val="13"/>
        </w:rPr>
        <w:t> </w:t>
      </w:r>
      <w:r>
        <w:rPr>
          <w:color w:val="6E6158"/>
        </w:rPr>
        <w:t>Civil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Procedure</w:t>
      </w:r>
      <w:r>
        <w:rPr>
          <w:color w:val="6E6158"/>
          <w:spacing w:val="13"/>
        </w:rPr>
        <w:t> </w:t>
      </w:r>
      <w:r>
        <w:rPr>
          <w:color w:val="6E6158"/>
        </w:rPr>
        <w:t>Symposium,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Arizona,</w:t>
      </w:r>
      <w:r>
        <w:rPr>
          <w:color w:val="6E6158"/>
          <w:spacing w:val="13"/>
        </w:rPr>
        <w:t> </w:t>
      </w:r>
      <w:r>
        <w:rPr>
          <w:color w:val="6E6158"/>
        </w:rPr>
        <w:t>November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Seven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Significant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Differences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Between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Federal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Civil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Procedure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2"/>
          </w:rPr>
          <w:t>2024</w:t>
        </w:r>
      </w:hyperlink>
      <w:r>
        <w:rPr>
          <w:color w:val="6E6158"/>
          <w:spacing w:val="-2"/>
        </w:rPr>
        <w:t>,”</w:t>
      </w:r>
    </w:p>
    <w:p>
      <w:pPr>
        <w:pStyle w:val="BodyText"/>
        <w:spacing w:before="52"/>
      </w:pP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3"/>
      </w:pPr>
      <w:r>
        <w:rPr>
          <w:color w:val="6E6158"/>
        </w:rPr>
        <w:t>“Meet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Rules,</w:t>
      </w:r>
      <w:r>
        <w:rPr>
          <w:color w:val="6E6158"/>
          <w:spacing w:val="10"/>
        </w:rPr>
        <w:t> </w:t>
      </w:r>
      <w:r>
        <w:rPr>
          <w:color w:val="6E6158"/>
        </w:rPr>
        <w:t>(Not</w:t>
      </w:r>
      <w:r>
        <w:rPr>
          <w:color w:val="6E6158"/>
          <w:spacing w:val="9"/>
        </w:rPr>
        <w:t> </w:t>
      </w:r>
      <w:r>
        <w:rPr>
          <w:color w:val="6E6158"/>
        </w:rPr>
        <w:t>the)</w:t>
      </w:r>
      <w:r>
        <w:rPr>
          <w:color w:val="6E6158"/>
          <w:spacing w:val="10"/>
        </w:rPr>
        <w:t> </w:t>
      </w:r>
      <w:r>
        <w:rPr>
          <w:color w:val="6E6158"/>
        </w:rPr>
        <w:t>Same</w:t>
      </w:r>
      <w:r>
        <w:rPr>
          <w:color w:val="6E6158"/>
          <w:spacing w:val="9"/>
        </w:rPr>
        <w:t> </w:t>
      </w:r>
      <w:r>
        <w:rPr>
          <w:color w:val="6E6158"/>
        </w:rPr>
        <w:t>as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Old</w:t>
      </w:r>
      <w:r>
        <w:rPr>
          <w:color w:val="6E6158"/>
          <w:spacing w:val="9"/>
        </w:rPr>
        <w:t> </w:t>
      </w:r>
      <w:r>
        <w:rPr>
          <w:color w:val="6E6158"/>
        </w:rPr>
        <w:t>Rules</w:t>
      </w:r>
      <w:r>
        <w:rPr>
          <w:color w:val="6E6158"/>
          <w:spacing w:val="10"/>
        </w:rPr>
        <w:t> </w:t>
      </w:r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Attorney</w:t>
      </w:r>
      <w:r>
        <w:rPr>
          <w:color w:val="6E6158"/>
          <w:spacing w:val="9"/>
        </w:rPr>
        <w:t> </w:t>
      </w:r>
      <w:r>
        <w:rPr>
          <w:color w:val="6E6158"/>
        </w:rPr>
        <w:t>(State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Arizona),</w:t>
      </w:r>
    </w:p>
    <w:p>
      <w:pPr>
        <w:pStyle w:val="BodyText"/>
        <w:spacing w:before="60"/>
      </w:pPr>
      <w:r>
        <w:rPr>
          <w:color w:val="6E6158"/>
        </w:rPr>
        <w:t>December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74"/>
      </w:pPr>
      <w:r>
        <w:rPr>
          <w:color w:val="6E6158"/>
        </w:rPr>
        <w:t>“Employee</w:t>
      </w:r>
      <w:r>
        <w:rPr>
          <w:color w:val="6E6158"/>
          <w:spacing w:val="18"/>
        </w:rPr>
        <w:t> </w:t>
      </w:r>
      <w:r>
        <w:rPr>
          <w:color w:val="6E6158"/>
        </w:rPr>
        <w:t>Misuse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Confidential</w:t>
      </w:r>
      <w:r>
        <w:rPr>
          <w:color w:val="6E6158"/>
          <w:spacing w:val="19"/>
        </w:rPr>
        <w:t> </w:t>
      </w:r>
      <w:r>
        <w:rPr>
          <w:color w:val="6E6158"/>
        </w:rPr>
        <w:t>Information,”</w:t>
      </w:r>
      <w:r>
        <w:rPr>
          <w:color w:val="6E6158"/>
          <w:spacing w:val="19"/>
        </w:rPr>
        <w:t> </w:t>
      </w:r>
      <w:r>
        <w:rPr>
          <w:color w:val="6E6158"/>
        </w:rPr>
        <w:t>December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302" w:lineRule="auto" w:before="174"/>
        <w:ind w:right="366"/>
      </w:pPr>
      <w:r>
        <w:rPr>
          <w:color w:val="6E6158"/>
        </w:rPr>
        <w:t>“A Long and Winding Road: How We Reached the 2014 Amendments,” Arizona Attorney (State</w:t>
      </w:r>
      <w:r>
        <w:rPr>
          <w:color w:val="6E6158"/>
          <w:spacing w:val="40"/>
        </w:rPr>
        <w:t> </w:t>
      </w:r>
      <w:r>
        <w:rPr>
          <w:color w:val="6E6158"/>
        </w:rPr>
        <w:t>Bar of Arizona), February 2014</w:t>
      </w:r>
    </w:p>
    <w:p>
      <w:pPr>
        <w:pStyle w:val="BodyText"/>
        <w:spacing w:before="113"/>
      </w:pPr>
      <w:r>
        <w:rPr>
          <w:color w:val="6E6158"/>
        </w:rPr>
        <w:t>“Fixing</w:t>
      </w:r>
      <w:r>
        <w:rPr>
          <w:color w:val="6E6158"/>
          <w:spacing w:val="11"/>
        </w:rPr>
        <w:t> </w:t>
      </w:r>
      <w:r>
        <w:rPr>
          <w:color w:val="6E6158"/>
        </w:rPr>
        <w:t>Holes</w:t>
      </w:r>
      <w:r>
        <w:rPr>
          <w:color w:val="6E6158"/>
          <w:spacing w:val="12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Rain</w:t>
      </w:r>
      <w:r>
        <w:rPr>
          <w:color w:val="6E6158"/>
          <w:spacing w:val="12"/>
        </w:rPr>
        <w:t> </w:t>
      </w:r>
      <w:r>
        <w:rPr>
          <w:color w:val="6E6158"/>
        </w:rPr>
        <w:t>Gets</w:t>
      </w:r>
      <w:r>
        <w:rPr>
          <w:color w:val="6E6158"/>
          <w:spacing w:val="11"/>
        </w:rPr>
        <w:t> </w:t>
      </w:r>
      <w:r>
        <w:rPr>
          <w:color w:val="6E6158"/>
        </w:rPr>
        <w:t>In:</w:t>
      </w:r>
      <w:r>
        <w:rPr>
          <w:color w:val="6E6158"/>
          <w:spacing w:val="12"/>
        </w:rPr>
        <w:t> </w:t>
      </w:r>
      <w:r>
        <w:rPr>
          <w:color w:val="6E6158"/>
        </w:rPr>
        <w:t>Seven</w:t>
      </w:r>
      <w:r>
        <w:rPr>
          <w:color w:val="6E6158"/>
          <w:spacing w:val="12"/>
        </w:rPr>
        <w:t> </w:t>
      </w:r>
      <w:r>
        <w:rPr>
          <w:color w:val="6E6158"/>
        </w:rPr>
        <w:t>Recent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1"/>
        </w:rPr>
        <w:t> </w:t>
      </w:r>
      <w:r>
        <w:rPr>
          <w:color w:val="6E6158"/>
        </w:rPr>
        <w:t>Rule</w:t>
      </w:r>
      <w:r>
        <w:rPr>
          <w:color w:val="6E6158"/>
          <w:spacing w:val="12"/>
        </w:rPr>
        <w:t> </w:t>
      </w:r>
      <w:r>
        <w:rPr>
          <w:color w:val="6E6158"/>
        </w:rPr>
        <w:t>Amendments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Dissected,”</w:t>
      </w:r>
    </w:p>
    <w:p>
      <w:pPr>
        <w:pStyle w:val="BodyText"/>
        <w:spacing w:before="52"/>
      </w:pPr>
      <w:r>
        <w:rPr>
          <w:color w:val="6E6158"/>
        </w:rPr>
        <w:t>Record</w:t>
      </w:r>
      <w:r>
        <w:rPr>
          <w:color w:val="6E6158"/>
          <w:spacing w:val="8"/>
        </w:rPr>
        <w:t> </w:t>
      </w:r>
      <w:r>
        <w:rPr>
          <w:color w:val="6E6158"/>
        </w:rPr>
        <w:t>Reporter,</w:t>
      </w:r>
      <w:r>
        <w:rPr>
          <w:color w:val="6E6158"/>
          <w:spacing w:val="9"/>
        </w:rPr>
        <w:t> </w:t>
      </w:r>
      <w:r>
        <w:rPr>
          <w:color w:val="6E6158"/>
        </w:rPr>
        <w:t>February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427" w:lineRule="auto" w:before="174"/>
        <w:ind w:right="2781"/>
      </w:pPr>
      <w:r>
        <w:rPr>
          <w:color w:val="6E6158"/>
        </w:rPr>
        <w:t>“Restrictive Covenants in Employment Agreements,” January </w:t>
      </w:r>
      <w:r>
        <w:rPr>
          <w:color w:val="6E6158"/>
        </w:rPr>
        <w:t>2014 “Customer List: Not Necessarily a Trade Secret,” November 2013</w:t>
      </w:r>
    </w:p>
    <w:p>
      <w:pPr>
        <w:pStyle w:val="BodyText"/>
        <w:spacing w:line="226" w:lineRule="exact"/>
      </w:pPr>
      <w:r>
        <w:rPr>
          <w:color w:val="6E6158"/>
        </w:rPr>
        <w:t>“Significant</w:t>
      </w:r>
      <w:r>
        <w:rPr>
          <w:color w:val="6E6158"/>
          <w:spacing w:val="15"/>
        </w:rPr>
        <w:t> </w:t>
      </w:r>
      <w:r>
        <w:rPr>
          <w:color w:val="6E6158"/>
        </w:rPr>
        <w:t>Differences</w:t>
      </w:r>
      <w:r>
        <w:rPr>
          <w:color w:val="6E6158"/>
          <w:spacing w:val="15"/>
        </w:rPr>
        <w:t> </w:t>
      </w:r>
      <w:r>
        <w:rPr>
          <w:color w:val="6E6158"/>
        </w:rPr>
        <w:t>Between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Federal</w:t>
      </w:r>
      <w:r>
        <w:rPr>
          <w:color w:val="6E6158"/>
          <w:spacing w:val="15"/>
        </w:rPr>
        <w:t> </w:t>
      </w:r>
      <w:r>
        <w:rPr>
          <w:color w:val="6E6158"/>
        </w:rPr>
        <w:t>Civil</w:t>
      </w:r>
      <w:r>
        <w:rPr>
          <w:color w:val="6E6158"/>
          <w:spacing w:val="15"/>
        </w:rPr>
        <w:t> </w:t>
      </w:r>
      <w:r>
        <w:rPr>
          <w:color w:val="6E6158"/>
        </w:rPr>
        <w:t>Procedure,”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before="174"/>
      </w:pPr>
      <w:r>
        <w:rPr>
          <w:color w:val="6E6158"/>
        </w:rPr>
        <w:t>“In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Lawsuit</w:t>
      </w:r>
      <w:r>
        <w:rPr>
          <w:color w:val="6E6158"/>
          <w:spacing w:val="10"/>
        </w:rPr>
        <w:t> </w:t>
      </w:r>
      <w:r>
        <w:rPr>
          <w:color w:val="6E6158"/>
        </w:rPr>
        <w:t>Arising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Online</w:t>
      </w:r>
      <w:r>
        <w:rPr>
          <w:color w:val="6E6158"/>
          <w:spacing w:val="11"/>
        </w:rPr>
        <w:t> </w:t>
      </w:r>
      <w:r>
        <w:rPr>
          <w:color w:val="6E6158"/>
        </w:rPr>
        <w:t>Transaction,</w:t>
      </w:r>
      <w:r>
        <w:rPr>
          <w:color w:val="6E6158"/>
          <w:spacing w:val="10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Should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Unhappy</w:t>
      </w:r>
      <w:r>
        <w:rPr>
          <w:color w:val="6E6158"/>
          <w:spacing w:val="11"/>
        </w:rPr>
        <w:t> </w:t>
      </w:r>
      <w:r>
        <w:rPr>
          <w:color w:val="6E6158"/>
        </w:rPr>
        <w:t>Buyer</w:t>
      </w:r>
      <w:r>
        <w:rPr>
          <w:color w:val="6E6158"/>
          <w:spacing w:val="10"/>
        </w:rPr>
        <w:t> </w:t>
      </w:r>
      <w:r>
        <w:rPr>
          <w:color w:val="6E6158"/>
        </w:rPr>
        <w:t>File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Suit?”</w:t>
      </w:r>
    </w:p>
    <w:p>
      <w:pPr>
        <w:pStyle w:val="BodyText"/>
        <w:spacing w:before="52"/>
      </w:pPr>
      <w:r>
        <w:rPr>
          <w:color w:val="6E6158"/>
        </w:rPr>
        <w:t>September</w:t>
      </w:r>
      <w:r>
        <w:rPr>
          <w:color w:val="6E6158"/>
          <w:spacing w:val="21"/>
        </w:rPr>
        <w:t> </w:t>
      </w:r>
      <w:r>
        <w:rPr>
          <w:color w:val="6E6158"/>
          <w:spacing w:val="-4"/>
        </w:rPr>
        <w:t>2010</w:t>
      </w:r>
    </w:p>
    <w:p>
      <w:pPr>
        <w:pStyle w:val="BodyText"/>
        <w:spacing w:line="292" w:lineRule="auto" w:before="182"/>
      </w:pPr>
      <w:r>
        <w:rPr>
          <w:color w:val="6E6158"/>
        </w:rPr>
        <w:t>“Much Ado About Cullen: Twombly Not Arizona Law … for Now, ” Arizona Attorney (State Bar of</w:t>
      </w:r>
      <w:r>
        <w:rPr>
          <w:color w:val="6E6158"/>
          <w:spacing w:val="40"/>
        </w:rPr>
        <w:t> </w:t>
      </w:r>
      <w:r>
        <w:rPr>
          <w:color w:val="6E6158"/>
        </w:rPr>
        <w:t>Arizona), December 2009</w:t>
      </w:r>
    </w:p>
    <w:p>
      <w:pPr>
        <w:pStyle w:val="BodyText"/>
        <w:spacing w:before="123"/>
      </w:pPr>
      <w:r>
        <w:rPr>
          <w:color w:val="6E6158"/>
        </w:rPr>
        <w:t>“Asset</w:t>
      </w:r>
      <w:r>
        <w:rPr>
          <w:color w:val="6E6158"/>
          <w:spacing w:val="12"/>
        </w:rPr>
        <w:t> </w:t>
      </w:r>
      <w:r>
        <w:rPr>
          <w:color w:val="6E6158"/>
        </w:rPr>
        <w:t>Transfers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Doctrine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Successor</w:t>
      </w:r>
      <w:r>
        <w:rPr>
          <w:color w:val="6E6158"/>
          <w:spacing w:val="12"/>
        </w:rPr>
        <w:t> </w:t>
      </w:r>
      <w:r>
        <w:rPr>
          <w:color w:val="6E6158"/>
        </w:rPr>
        <w:t>Liability,”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74"/>
      </w:pPr>
      <w:r>
        <w:rPr>
          <w:color w:val="6E6158"/>
        </w:rPr>
        <w:t>“Goodbye</w:t>
      </w:r>
      <w:r>
        <w:rPr>
          <w:color w:val="6E6158"/>
          <w:spacing w:val="16"/>
        </w:rPr>
        <w:t> </w:t>
      </w:r>
      <w:r>
        <w:rPr>
          <w:color w:val="6E6158"/>
        </w:rPr>
        <w:t>Peremptory</w:t>
      </w:r>
      <w:r>
        <w:rPr>
          <w:color w:val="6E6158"/>
          <w:spacing w:val="17"/>
        </w:rPr>
        <w:t> </w:t>
      </w:r>
      <w:r>
        <w:rPr>
          <w:color w:val="6E6158"/>
        </w:rPr>
        <w:t>Challenges:</w:t>
      </w:r>
      <w:r>
        <w:rPr>
          <w:color w:val="6E6158"/>
          <w:spacing w:val="16"/>
        </w:rPr>
        <w:t> </w:t>
      </w:r>
      <w:r>
        <w:rPr>
          <w:color w:val="6E6158"/>
        </w:rPr>
        <w:t>Underlying</w:t>
      </w:r>
      <w:r>
        <w:rPr>
          <w:color w:val="6E6158"/>
          <w:spacing w:val="17"/>
        </w:rPr>
        <w:t> </w:t>
      </w:r>
      <w:r>
        <w:rPr>
          <w:color w:val="6E6158"/>
        </w:rPr>
        <w:t>Rational,</w:t>
      </w:r>
      <w:r>
        <w:rPr>
          <w:color w:val="6E6158"/>
          <w:spacing w:val="16"/>
        </w:rPr>
        <w:t> </w:t>
      </w:r>
      <w:r>
        <w:rPr>
          <w:color w:val="6E6158"/>
        </w:rPr>
        <w:t>Experience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Date,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Strategic</w:t>
      </w:r>
    </w:p>
    <w:p>
      <w:pPr>
        <w:pStyle w:val="BodyText"/>
        <w:spacing w:before="60"/>
      </w:pPr>
      <w:r>
        <w:rPr>
          <w:color w:val="6E6158"/>
        </w:rPr>
        <w:t>Considerations”</w:t>
      </w:r>
      <w:r>
        <w:rPr>
          <w:color w:val="6E6158"/>
          <w:spacing w:val="11"/>
        </w:rPr>
        <w:t> </w:t>
      </w:r>
      <w:r>
        <w:rPr>
          <w:color w:val="6E6158"/>
        </w:rPr>
        <w:t>(seminar</w:t>
      </w:r>
      <w:r>
        <w:rPr>
          <w:color w:val="6E6158"/>
          <w:spacing w:val="12"/>
        </w:rPr>
        <w:t> </w:t>
      </w:r>
      <w:r>
        <w:rPr>
          <w:color w:val="6E6158"/>
        </w:rPr>
        <w:t>co-chair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panelist),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“CLE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Sea,”</w:t>
      </w:r>
      <w:r>
        <w:rPr>
          <w:color w:val="6E6158"/>
          <w:spacing w:val="12"/>
        </w:rPr>
        <w:t> </w:t>
      </w:r>
      <w:r>
        <w:rPr>
          <w:color w:val="6E6158"/>
        </w:rPr>
        <w:t>July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7" w:lineRule="auto" w:before="174"/>
        <w:ind w:right="289"/>
      </w:pPr>
      <w:r>
        <w:rPr>
          <w:color w:val="6E6158"/>
        </w:rPr>
        <w:t>“Sun</w:t>
      </w:r>
      <w:r>
        <w:rPr>
          <w:color w:val="6E6158"/>
          <w:spacing w:val="31"/>
        </w:rPr>
        <w:t> </w:t>
      </w:r>
      <w:r>
        <w:rPr>
          <w:color w:val="6E6158"/>
        </w:rPr>
        <w:t>Tzu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von</w:t>
      </w:r>
      <w:r>
        <w:rPr>
          <w:color w:val="6E6158"/>
          <w:spacing w:val="31"/>
        </w:rPr>
        <w:t> </w:t>
      </w:r>
      <w:r>
        <w:rPr>
          <w:color w:val="6E6158"/>
        </w:rPr>
        <w:t>Clausewitz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Courtroom:</w:t>
      </w:r>
      <w:r>
        <w:rPr>
          <w:color w:val="6E6158"/>
          <w:spacing w:val="31"/>
        </w:rPr>
        <w:t> </w:t>
      </w:r>
      <w:r>
        <w:rPr>
          <w:color w:val="6E6158"/>
        </w:rPr>
        <w:t>Shaping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Battlefield</w:t>
      </w:r>
      <w:r>
        <w:rPr>
          <w:color w:val="6E6158"/>
          <w:spacing w:val="31"/>
        </w:rPr>
        <w:t> </w:t>
      </w:r>
      <w:r>
        <w:rPr>
          <w:color w:val="6E6158"/>
        </w:rPr>
        <w:t>through</w:t>
      </w:r>
      <w:r>
        <w:rPr>
          <w:color w:val="6E6158"/>
          <w:spacing w:val="31"/>
        </w:rPr>
        <w:t> </w:t>
      </w:r>
      <w:r>
        <w:rPr>
          <w:color w:val="6E6158"/>
        </w:rPr>
        <w:t>Dispositive Motions and Realizing that No Battle Plan Survives First Contact with the Enemy” (seminar cochair</w:t>
      </w:r>
      <w:r>
        <w:rPr>
          <w:color w:val="6E6158"/>
          <w:spacing w:val="40"/>
        </w:rPr>
        <w:t> </w:t>
      </w:r>
      <w:r>
        <w:rPr>
          <w:color w:val="6E6158"/>
        </w:rPr>
        <w:t>and panelist), State Bar of Arizona “CLE by the Sea,” July 2023</w:t>
      </w:r>
    </w:p>
    <w:p>
      <w:pPr>
        <w:pStyle w:val="BodyText"/>
        <w:spacing w:line="292" w:lineRule="auto" w:before="118"/>
      </w:pPr>
      <w:r>
        <w:rPr>
          <w:color w:val="6E6158"/>
        </w:rPr>
        <w:t>“’Toto, I’ve a Feeling We’re Not in Superior Court Anymore’: Contrasting State and Federal Trial Practice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How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Avoid</w:t>
      </w:r>
      <w:r>
        <w:rPr>
          <w:color w:val="6E6158"/>
          <w:spacing w:val="13"/>
        </w:rPr>
        <w:t> </w:t>
      </w:r>
      <w:r>
        <w:rPr>
          <w:color w:val="6E6158"/>
        </w:rPr>
        <w:t>Losing</w:t>
      </w:r>
      <w:r>
        <w:rPr>
          <w:color w:val="6E6158"/>
          <w:spacing w:val="13"/>
        </w:rPr>
        <w:t> </w:t>
      </w:r>
      <w:r>
        <w:rPr>
          <w:color w:val="6E6158"/>
        </w:rPr>
        <w:t>your</w:t>
      </w:r>
      <w:r>
        <w:rPr>
          <w:color w:val="6E6158"/>
          <w:spacing w:val="13"/>
        </w:rPr>
        <w:t> </w:t>
      </w:r>
      <w:r>
        <w:rPr>
          <w:color w:val="6E6158"/>
        </w:rPr>
        <w:t>Appeal</w:t>
      </w:r>
      <w:r>
        <w:rPr>
          <w:color w:val="6E6158"/>
          <w:spacing w:val="13"/>
        </w:rPr>
        <w:t> </w:t>
      </w:r>
      <w:r>
        <w:rPr>
          <w:color w:val="6E6158"/>
        </w:rPr>
        <w:t>Before</w:t>
      </w:r>
      <w:r>
        <w:rPr>
          <w:color w:val="6E6158"/>
          <w:spacing w:val="13"/>
        </w:rPr>
        <w:t> </w:t>
      </w:r>
      <w:r>
        <w:rPr>
          <w:color w:val="6E6158"/>
        </w:rPr>
        <w:t>it</w:t>
      </w:r>
      <w:r>
        <w:rPr>
          <w:color w:val="6E6158"/>
          <w:spacing w:val="13"/>
        </w:rPr>
        <w:t> </w:t>
      </w:r>
      <w:r>
        <w:rPr>
          <w:color w:val="6E6158"/>
        </w:rPr>
        <w:t>Starts”</w:t>
      </w:r>
      <w:r>
        <w:rPr>
          <w:color w:val="6E6158"/>
          <w:spacing w:val="13"/>
        </w:rPr>
        <w:t> </w:t>
      </w:r>
      <w:r>
        <w:rPr>
          <w:color w:val="6E6158"/>
        </w:rPr>
        <w:t>(seminar</w:t>
      </w:r>
      <w:r>
        <w:rPr>
          <w:color w:val="6E6158"/>
          <w:spacing w:val="13"/>
        </w:rPr>
        <w:t> </w:t>
      </w:r>
      <w:r>
        <w:rPr>
          <w:color w:val="6E6158"/>
        </w:rPr>
        <w:t>co-chair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panelist),</w:t>
      </w:r>
    </w:p>
    <w:p>
      <w:pPr>
        <w:pStyle w:val="BodyText"/>
        <w:spacing w:before="1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82"/>
      </w:pPr>
      <w:r>
        <w:rPr>
          <w:color w:val="6E6158"/>
        </w:rPr>
        <w:t>“Civil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Update”</w:t>
      </w:r>
      <w:r>
        <w:rPr>
          <w:color w:val="6E6158"/>
          <w:spacing w:val="13"/>
        </w:rPr>
        <w:t> </w:t>
      </w:r>
      <w:r>
        <w:rPr>
          <w:color w:val="6E6158"/>
        </w:rPr>
        <w:t>(panelist),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420" w:lineRule="auto" w:before="174"/>
        <w:ind w:right="723"/>
      </w:pPr>
      <w:r>
        <w:rPr>
          <w:color w:val="6E6158"/>
        </w:rPr>
        <w:t>Judicial Conference Advisory Committee on Evidence Rules (panelist), Fall Meeting, </w:t>
      </w:r>
      <w:r>
        <w:rPr>
          <w:color w:val="6E6158"/>
        </w:rPr>
        <w:t>2022 Civil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Procedure</w:t>
      </w:r>
      <w:r>
        <w:rPr>
          <w:color w:val="6E6158"/>
          <w:spacing w:val="14"/>
        </w:rPr>
        <w:t> </w:t>
      </w:r>
      <w:r>
        <w:rPr>
          <w:color w:val="6E6158"/>
        </w:rPr>
        <w:t>Symposium</w:t>
      </w:r>
      <w:r>
        <w:rPr>
          <w:color w:val="6E6158"/>
          <w:spacing w:val="14"/>
        </w:rPr>
        <w:t> </w:t>
      </w:r>
      <w:r>
        <w:rPr>
          <w:color w:val="6E6158"/>
        </w:rPr>
        <w:t>(panelist),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Arizona,</w:t>
      </w:r>
      <w:r>
        <w:rPr>
          <w:color w:val="6E6158"/>
          <w:spacing w:val="14"/>
        </w:rPr>
        <w:t> </w:t>
      </w:r>
      <w:r>
        <w:rPr>
          <w:color w:val="6E6158"/>
        </w:rPr>
        <w:t>September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7" w:lineRule="auto" w:before="83"/>
        <w:ind w:right="366"/>
      </w:pPr>
      <w:r>
        <w:rPr>
          <w:color w:val="6E6158"/>
        </w:rPr>
        <w:t>“Complex</w:t>
      </w:r>
      <w:r>
        <w:rPr>
          <w:color w:val="6E6158"/>
          <w:spacing w:val="30"/>
        </w:rPr>
        <w:t> </w:t>
      </w:r>
      <w:r>
        <w:rPr>
          <w:color w:val="6E6158"/>
        </w:rPr>
        <w:t>Civil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Tier</w:t>
      </w:r>
      <w:r>
        <w:rPr>
          <w:color w:val="6E6158"/>
          <w:spacing w:val="30"/>
        </w:rPr>
        <w:t> </w:t>
      </w:r>
      <w:r>
        <w:rPr>
          <w:color w:val="6E6158"/>
        </w:rPr>
        <w:t>3</w:t>
      </w:r>
      <w:r>
        <w:rPr>
          <w:color w:val="6E6158"/>
          <w:spacing w:val="30"/>
        </w:rPr>
        <w:t> </w:t>
      </w:r>
      <w:r>
        <w:rPr>
          <w:color w:val="6E6158"/>
        </w:rPr>
        <w:t>Cases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Commercial</w:t>
      </w:r>
      <w:r>
        <w:rPr>
          <w:color w:val="6E6158"/>
          <w:spacing w:val="30"/>
        </w:rPr>
        <w:t> </w:t>
      </w:r>
      <w:r>
        <w:rPr>
          <w:color w:val="6E6158"/>
        </w:rPr>
        <w:t>Court:</w:t>
      </w:r>
      <w:r>
        <w:rPr>
          <w:color w:val="6E6158"/>
          <w:spacing w:val="30"/>
        </w:rPr>
        <w:t> </w:t>
      </w:r>
      <w:r>
        <w:rPr>
          <w:color w:val="6E6158"/>
        </w:rPr>
        <w:t>Everything</w:t>
      </w:r>
      <w:r>
        <w:rPr>
          <w:color w:val="6E6158"/>
          <w:spacing w:val="30"/>
        </w:rPr>
        <w:t> </w:t>
      </w:r>
      <w:r>
        <w:rPr>
          <w:color w:val="6E6158"/>
        </w:rPr>
        <w:t>You’ve</w:t>
      </w:r>
      <w:r>
        <w:rPr>
          <w:color w:val="6E6158"/>
          <w:spacing w:val="30"/>
        </w:rPr>
        <w:t> </w:t>
      </w:r>
      <w:r>
        <w:rPr>
          <w:color w:val="6E6158"/>
        </w:rPr>
        <w:t>Always Needed to Know, But Were Afraid to Ask!” (panelist), Maricopa County Bar Association, October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18"/>
      </w:pPr>
      <w:r>
        <w:rPr>
          <w:color w:val="6E6158"/>
        </w:rPr>
        <w:t>“Where the Rubber Meets the Road: How the 2017 and 2018 Civil Rules Changes Are Impacting</w:t>
      </w:r>
      <w:r>
        <w:rPr>
          <w:color w:val="6E6158"/>
          <w:spacing w:val="40"/>
        </w:rPr>
        <w:t> </w:t>
      </w:r>
      <w:r>
        <w:rPr>
          <w:color w:val="6E6158"/>
        </w:rPr>
        <w:t>Litigation” (panelist), State Bar of Arizona, January 2019</w:t>
      </w:r>
    </w:p>
    <w:p>
      <w:pPr>
        <w:pStyle w:val="BodyText"/>
        <w:spacing w:before="124"/>
      </w:pPr>
      <w:r>
        <w:rPr>
          <w:color w:val="6E6158"/>
        </w:rPr>
        <w:t>“War</w:t>
      </w:r>
      <w:r>
        <w:rPr>
          <w:color w:val="6E6158"/>
          <w:spacing w:val="11"/>
        </w:rPr>
        <w:t> </w:t>
      </w:r>
      <w:r>
        <w:rPr>
          <w:color w:val="6E6158"/>
        </w:rPr>
        <w:t>Stories:</w:t>
      </w:r>
      <w:r>
        <w:rPr>
          <w:color w:val="6E6158"/>
          <w:spacing w:val="11"/>
        </w:rPr>
        <w:t> </w:t>
      </w:r>
      <w:r>
        <w:rPr>
          <w:color w:val="6E6158"/>
        </w:rPr>
        <w:t>Senior</w:t>
      </w:r>
      <w:r>
        <w:rPr>
          <w:color w:val="6E6158"/>
          <w:spacing w:val="11"/>
        </w:rPr>
        <w:t> </w:t>
      </w:r>
      <w:r>
        <w:rPr>
          <w:color w:val="6E6158"/>
        </w:rPr>
        <w:t>Litigators’</w:t>
      </w:r>
      <w:r>
        <w:rPr>
          <w:color w:val="6E6158"/>
          <w:spacing w:val="11"/>
        </w:rPr>
        <w:t> </w:t>
      </w:r>
      <w:r>
        <w:rPr>
          <w:color w:val="6E6158"/>
        </w:rPr>
        <w:t>Tales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Trenches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Lessons</w:t>
      </w:r>
      <w:r>
        <w:rPr>
          <w:color w:val="6E6158"/>
          <w:spacing w:val="11"/>
        </w:rPr>
        <w:t> </w:t>
      </w:r>
      <w:r>
        <w:rPr>
          <w:color w:val="6E6158"/>
        </w:rPr>
        <w:t>Learned”</w:t>
      </w:r>
      <w:r>
        <w:rPr>
          <w:color w:val="6E6158"/>
          <w:spacing w:val="11"/>
        </w:rPr>
        <w:t> </w:t>
      </w:r>
      <w:r>
        <w:rPr>
          <w:color w:val="6E6158"/>
        </w:rPr>
        <w:t>(co-</w:t>
      </w:r>
      <w:r>
        <w:rPr>
          <w:color w:val="6E6158"/>
          <w:spacing w:val="-2"/>
        </w:rPr>
        <w:t>presenter),</w:t>
      </w:r>
    </w:p>
    <w:p>
      <w:pPr>
        <w:pStyle w:val="BodyText"/>
        <w:spacing w:before="60"/>
      </w:pPr>
      <w:r>
        <w:rPr>
          <w:color w:val="6E6158"/>
        </w:rPr>
        <w:t>Maricopa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Litigation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Sections,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  <w:ind w:right="366"/>
      </w:pPr>
      <w:r>
        <w:rPr>
          <w:color w:val="6E6158"/>
        </w:rPr>
        <w:t>“2018 Civil Practice and Procedure Symposium” (seminar co-chair and panelist) State Bar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Arizona, April 2018</w:t>
      </w:r>
    </w:p>
    <w:p>
      <w:pPr>
        <w:pStyle w:val="BodyText"/>
        <w:spacing w:line="302" w:lineRule="auto" w:before="123"/>
        <w:ind w:right="384"/>
      </w:pPr>
      <w:r>
        <w:rPr>
          <w:color w:val="6E6158"/>
        </w:rPr>
        <w:t>“Proportionality Takes Center Stage: The 2018 Revisions to the Arizona Rules of Civil Procedure”</w:t>
      </w:r>
      <w:r>
        <w:rPr>
          <w:color w:val="6E6158"/>
          <w:spacing w:val="40"/>
        </w:rPr>
        <w:t> </w:t>
      </w:r>
      <w:r>
        <w:rPr>
          <w:color w:val="6E6158"/>
        </w:rPr>
        <w:t>(co-presenter),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Attorney</w:t>
      </w:r>
      <w:r>
        <w:rPr>
          <w:color w:val="6E6158"/>
          <w:spacing w:val="40"/>
        </w:rPr>
        <w:t> </w:t>
      </w:r>
      <w:r>
        <w:rPr>
          <w:color w:val="6E6158"/>
        </w:rPr>
        <w:t>General’s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Maricopa</w:t>
      </w:r>
      <w:r>
        <w:rPr>
          <w:color w:val="6E6158"/>
          <w:spacing w:val="40"/>
        </w:rPr>
        <w:t>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Attorney’s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line="224" w:lineRule="exact"/>
      </w:pPr>
      <w:r>
        <w:rPr>
          <w:color w:val="6E6158"/>
        </w:rPr>
        <w:t>Sandra</w:t>
      </w:r>
      <w:r>
        <w:rPr>
          <w:color w:val="6E6158"/>
          <w:spacing w:val="11"/>
        </w:rPr>
        <w:t> </w:t>
      </w:r>
      <w:r>
        <w:rPr>
          <w:color w:val="6E6158"/>
        </w:rPr>
        <w:t>Day</w:t>
      </w:r>
      <w:r>
        <w:rPr>
          <w:color w:val="6E6158"/>
          <w:spacing w:val="11"/>
        </w:rPr>
        <w:t> </w:t>
      </w:r>
      <w:r>
        <w:rPr>
          <w:color w:val="6E6158"/>
        </w:rPr>
        <w:t>O’Connor</w:t>
      </w:r>
      <w:r>
        <w:rPr>
          <w:color w:val="6E6158"/>
          <w:spacing w:val="11"/>
        </w:rPr>
        <w:t> </w:t>
      </w:r>
      <w:r>
        <w:rPr>
          <w:color w:val="6E6158"/>
        </w:rPr>
        <w:t>Inn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Spring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74"/>
      </w:pPr>
      <w:r>
        <w:rPr>
          <w:color w:val="6E6158"/>
        </w:rPr>
        <w:t>“2018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Justice</w:t>
      </w:r>
      <w:r>
        <w:rPr>
          <w:color w:val="6E6158"/>
          <w:spacing w:val="13"/>
        </w:rPr>
        <w:t> </w:t>
      </w:r>
      <w:r>
        <w:rPr>
          <w:color w:val="6E6158"/>
        </w:rPr>
        <w:t>Reforms:</w:t>
      </w:r>
      <w:r>
        <w:rPr>
          <w:color w:val="6E6158"/>
          <w:spacing w:val="12"/>
        </w:rPr>
        <w:t> </w:t>
      </w:r>
      <w:r>
        <w:rPr>
          <w:color w:val="6E6158"/>
        </w:rPr>
        <w:t>Case</w:t>
      </w:r>
      <w:r>
        <w:rPr>
          <w:color w:val="6E6158"/>
          <w:spacing w:val="13"/>
        </w:rPr>
        <w:t> </w:t>
      </w:r>
      <w:r>
        <w:rPr>
          <w:color w:val="6E6158"/>
        </w:rPr>
        <w:t>Management,</w:t>
      </w:r>
      <w:r>
        <w:rPr>
          <w:color w:val="6E6158"/>
          <w:spacing w:val="12"/>
        </w:rPr>
        <w:t> </w:t>
      </w:r>
      <w:r>
        <w:rPr>
          <w:color w:val="6E6158"/>
        </w:rPr>
        <w:t>ESI,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More”</w:t>
      </w:r>
      <w:r>
        <w:rPr>
          <w:color w:val="6E6158"/>
          <w:spacing w:val="12"/>
        </w:rPr>
        <w:t> </w:t>
      </w:r>
      <w:r>
        <w:rPr>
          <w:color w:val="6E6158"/>
        </w:rPr>
        <w:t>(panelist),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Arizona,</w:t>
      </w:r>
    </w:p>
    <w:p>
      <w:pPr>
        <w:pStyle w:val="BodyText"/>
        <w:spacing w:before="52"/>
      </w:pPr>
      <w:r>
        <w:rPr>
          <w:color w:val="6E6158"/>
        </w:rPr>
        <w:t>January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82"/>
      </w:pPr>
      <w:r>
        <w:rPr>
          <w:color w:val="6E6158"/>
        </w:rPr>
        <w:t>“Meet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</w:rPr>
        <w:t>Rules: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Restyled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Rules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Procedure”</w:t>
      </w:r>
      <w:r>
        <w:rPr>
          <w:color w:val="6E6158"/>
          <w:spacing w:val="11"/>
        </w:rPr>
        <w:t> </w:t>
      </w:r>
      <w:r>
        <w:rPr>
          <w:color w:val="6E6158"/>
        </w:rPr>
        <w:t>(seminar</w:t>
      </w:r>
      <w:r>
        <w:rPr>
          <w:color w:val="6E6158"/>
          <w:spacing w:val="11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panelist),</w:t>
      </w:r>
    </w:p>
    <w:p>
      <w:pPr>
        <w:pStyle w:val="BodyText"/>
        <w:spacing w:before="52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3"/>
      </w:pPr>
      <w:r>
        <w:rPr>
          <w:color w:val="6E6158"/>
        </w:rPr>
        <w:t>“Better,</w:t>
      </w:r>
      <w:r>
        <w:rPr>
          <w:color w:val="6E6158"/>
          <w:spacing w:val="8"/>
        </w:rPr>
        <w:t> </w:t>
      </w:r>
      <w:r>
        <w:rPr>
          <w:color w:val="6E6158"/>
        </w:rPr>
        <w:t>Faster,</w:t>
      </w:r>
      <w:r>
        <w:rPr>
          <w:color w:val="6E6158"/>
          <w:spacing w:val="8"/>
        </w:rPr>
        <w:t> </w:t>
      </w:r>
      <w:r>
        <w:rPr>
          <w:color w:val="6E6158"/>
        </w:rPr>
        <w:t>Cheaper:</w:t>
      </w:r>
      <w:r>
        <w:rPr>
          <w:color w:val="6E6158"/>
          <w:spacing w:val="8"/>
        </w:rPr>
        <w:t> </w:t>
      </w:r>
      <w:r>
        <w:rPr>
          <w:color w:val="6E6158"/>
        </w:rPr>
        <w:t>Case</w:t>
      </w:r>
      <w:r>
        <w:rPr>
          <w:color w:val="6E6158"/>
          <w:spacing w:val="9"/>
        </w:rPr>
        <w:t> </w:t>
      </w:r>
      <w:r>
        <w:rPr>
          <w:color w:val="6E6158"/>
        </w:rPr>
        <w:t>Management</w:t>
      </w:r>
      <w:r>
        <w:rPr>
          <w:color w:val="6E6158"/>
          <w:spacing w:val="8"/>
        </w:rPr>
        <w:t> </w:t>
      </w:r>
      <w:r>
        <w:rPr>
          <w:color w:val="6E6158"/>
        </w:rPr>
        <w:t>Reforms</w:t>
      </w:r>
      <w:r>
        <w:rPr>
          <w:color w:val="6E6158"/>
          <w:spacing w:val="8"/>
        </w:rPr>
        <w:t> </w:t>
      </w:r>
      <w:r>
        <w:rPr>
          <w:color w:val="6E6158"/>
        </w:rPr>
        <w:t>Coming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Near</w:t>
      </w:r>
      <w:r>
        <w:rPr>
          <w:color w:val="6E6158"/>
          <w:spacing w:val="8"/>
        </w:rPr>
        <w:t> </w:t>
      </w:r>
      <w:r>
        <w:rPr>
          <w:color w:val="6E6158"/>
        </w:rPr>
        <w:t>You”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(panelist),</w:t>
      </w:r>
    </w:p>
    <w:p>
      <w:pPr>
        <w:pStyle w:val="BodyText"/>
        <w:spacing w:before="60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  <w:ind w:right="480"/>
      </w:pPr>
      <w:r>
        <w:rPr>
          <w:color w:val="6E6158"/>
        </w:rPr>
        <w:t>“The Changing Federal Rules: Proportionality and More” (seminar chair and panelist), State </w:t>
      </w:r>
      <w:r>
        <w:rPr>
          <w:color w:val="6E6158"/>
        </w:rPr>
        <w:t>Bar</w:t>
      </w:r>
      <w:r>
        <w:rPr>
          <w:color w:val="6E6158"/>
          <w:spacing w:val="80"/>
        </w:rPr>
        <w:t> </w:t>
      </w:r>
      <w:r>
        <w:rPr>
          <w:color w:val="6E6158"/>
        </w:rPr>
        <w:t>of Arizona “CLE by the Sea,” July 2017</w:t>
      </w:r>
    </w:p>
    <w:p>
      <w:pPr>
        <w:pStyle w:val="BodyText"/>
        <w:spacing w:line="302" w:lineRule="auto" w:before="124"/>
        <w:ind w:right="384"/>
      </w:pPr>
      <w:r>
        <w:rPr>
          <w:color w:val="6E6158"/>
        </w:rPr>
        <w:t>“Under New Management: Case Management Reform Rule Changes” (panelist), State Bar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Arizona Convention, June 2017</w:t>
      </w:r>
    </w:p>
    <w:p>
      <w:pPr>
        <w:pStyle w:val="BodyText"/>
        <w:spacing w:before="112"/>
      </w:pPr>
      <w:r>
        <w:rPr>
          <w:color w:val="6E6158"/>
        </w:rPr>
        <w:t>“Evidence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Update”</w:t>
      </w:r>
      <w:r>
        <w:rPr>
          <w:color w:val="6E6158"/>
          <w:spacing w:val="15"/>
        </w:rPr>
        <w:t> </w:t>
      </w:r>
      <w:r>
        <w:rPr>
          <w:color w:val="6E6158"/>
        </w:rPr>
        <w:t>(panelist),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Convention,</w:t>
      </w:r>
      <w:r>
        <w:rPr>
          <w:color w:val="6E6158"/>
          <w:spacing w:val="15"/>
        </w:rPr>
        <w:t> </w:t>
      </w:r>
      <w:r>
        <w:rPr>
          <w:color w:val="6E6158"/>
        </w:rPr>
        <w:t>June</w:t>
      </w:r>
      <w:r>
        <w:rPr>
          <w:color w:val="6E6158"/>
          <w:spacing w:val="14"/>
        </w:rPr>
        <w:t> </w:t>
      </w:r>
      <w:r>
        <w:rPr>
          <w:color w:val="6E6158"/>
        </w:rPr>
        <w:t>2015-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  <w:ind w:right="994"/>
      </w:pPr>
      <w:r>
        <w:rPr>
          <w:color w:val="6E6158"/>
        </w:rPr>
        <w:t>“2017 Civil Rules Changes: What Every Litigator Needs to Know” (co-presenter), </w:t>
      </w:r>
      <w:r>
        <w:rPr>
          <w:color w:val="6E6158"/>
        </w:rPr>
        <w:t>Maricopa County Bar Association, February 2017</w:t>
      </w:r>
    </w:p>
    <w:p>
      <w:pPr>
        <w:pStyle w:val="BodyText"/>
        <w:spacing w:line="292" w:lineRule="auto" w:before="132"/>
        <w:ind w:right="366"/>
      </w:pPr>
      <w:r>
        <w:rPr>
          <w:color w:val="6E6158"/>
        </w:rPr>
        <w:t>“A Time of Change: The 2017 ARCP Revisions” (panelist), Scottsdale Bar Association, </w:t>
      </w:r>
      <w:r>
        <w:rPr>
          <w:color w:val="6E6158"/>
        </w:rPr>
        <w:t>February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420" w:lineRule="auto" w:before="123"/>
        <w:ind w:right="366"/>
      </w:pPr>
      <w:r>
        <w:rPr>
          <w:color w:val="6E6158"/>
        </w:rPr>
        <w:t>“2017 Civil Rules Update” (co-presenter), Arizona Attorney General’s Office, February </w:t>
      </w:r>
      <w:r>
        <w:rPr>
          <w:color w:val="6E6158"/>
        </w:rPr>
        <w:t>2017</w:t>
      </w:r>
      <w:r>
        <w:rPr>
          <w:color w:val="6E6158"/>
          <w:spacing w:val="40"/>
        </w:rPr>
        <w:t> </w:t>
      </w:r>
      <w:r>
        <w:rPr>
          <w:color w:val="6E6158"/>
        </w:rPr>
        <w:t>“Evidence Law Update Reprise” (panelist), State Bar of Arizona, February 2017</w:t>
      </w:r>
    </w:p>
    <w:p>
      <w:pPr>
        <w:pStyle w:val="BodyText"/>
        <w:spacing w:line="292" w:lineRule="auto" w:before="7"/>
        <w:ind w:right="480"/>
      </w:pPr>
      <w:r>
        <w:rPr>
          <w:color w:val="6E6158"/>
        </w:rPr>
        <w:t>“A Time of Change: The 2017 ARCP Revisions, and Proposals for 2018” (faculty member), State</w:t>
      </w:r>
      <w:r>
        <w:rPr>
          <w:color w:val="6E6158"/>
          <w:spacing w:val="40"/>
        </w:rPr>
        <w:t> </w:t>
      </w:r>
      <w:r>
        <w:rPr>
          <w:color w:val="6E6158"/>
        </w:rPr>
        <w:t>Bar of Arizona, January 2016</w:t>
      </w:r>
    </w:p>
    <w:p>
      <w:pPr>
        <w:pStyle w:val="BodyText"/>
        <w:spacing w:before="123"/>
      </w:pPr>
      <w:r>
        <w:rPr>
          <w:color w:val="6E6158"/>
        </w:rPr>
        <w:t>“Civil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Updates”</w:t>
      </w:r>
      <w:r>
        <w:rPr>
          <w:color w:val="6E6158"/>
          <w:spacing w:val="15"/>
        </w:rPr>
        <w:t> </w:t>
      </w:r>
      <w:r>
        <w:rPr>
          <w:color w:val="6E6158"/>
        </w:rPr>
        <w:t>(faculty</w:t>
      </w:r>
      <w:r>
        <w:rPr>
          <w:color w:val="6E6158"/>
          <w:spacing w:val="15"/>
        </w:rPr>
        <w:t> </w:t>
      </w:r>
      <w:r>
        <w:rPr>
          <w:color w:val="6E6158"/>
        </w:rPr>
        <w:t>member),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Judicial</w:t>
      </w:r>
      <w:r>
        <w:rPr>
          <w:color w:val="6E6158"/>
          <w:spacing w:val="15"/>
        </w:rPr>
        <w:t> </w:t>
      </w:r>
      <w:r>
        <w:rPr>
          <w:color w:val="6E6158"/>
        </w:rPr>
        <w:t>Conference,</w:t>
      </w:r>
      <w:r>
        <w:rPr>
          <w:color w:val="6E6158"/>
          <w:spacing w:val="15"/>
        </w:rPr>
        <w:t> </w:t>
      </w:r>
      <w:r>
        <w:rPr>
          <w:color w:val="6E6158"/>
        </w:rPr>
        <w:t>June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82"/>
        <w:ind w:right="384"/>
      </w:pPr>
      <w:r>
        <w:rPr>
          <w:color w:val="6E6158"/>
        </w:rPr>
        <w:t>“Where We’re Going, We Still Need Rules: Back to the Future in Civil Litigation” (panelist), State Bar of Arizona Convention, June 2016</w:t>
      </w:r>
    </w:p>
    <w:p>
      <w:pPr>
        <w:pStyle w:val="BodyText"/>
        <w:spacing w:line="292" w:lineRule="auto" w:before="123"/>
      </w:pPr>
      <w:r>
        <w:rPr>
          <w:color w:val="6E6158"/>
        </w:rPr>
        <w:t>“Sea Changes in the Federal and Arizona Rules of Civil procedure: The Winter 2016 Civil Rules</w:t>
      </w:r>
      <w:r>
        <w:rPr>
          <w:color w:val="6E6158"/>
          <w:spacing w:val="40"/>
        </w:rPr>
        <w:t> </w:t>
      </w:r>
      <w:r>
        <w:rPr>
          <w:color w:val="6E6158"/>
        </w:rPr>
        <w:t>Update” (panelist), State Bar of Arizona, February 2016</w:t>
      </w:r>
    </w:p>
    <w:p>
      <w:pPr>
        <w:pStyle w:val="BodyText"/>
        <w:spacing w:before="132"/>
      </w:pPr>
      <w:r>
        <w:rPr>
          <w:color w:val="6E6158"/>
        </w:rPr>
        <w:t>“2015</w:t>
      </w:r>
      <w:r>
        <w:rPr>
          <w:color w:val="6E6158"/>
          <w:spacing w:val="11"/>
        </w:rPr>
        <w:t> </w:t>
      </w:r>
      <w:r>
        <w:rPr>
          <w:color w:val="6E6158"/>
        </w:rPr>
        <w:t>Amendments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Rules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Procedure,”</w:t>
      </w:r>
      <w:r>
        <w:rPr>
          <w:color w:val="6E6158"/>
          <w:spacing w:val="12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Co-</w:t>
      </w:r>
    </w:p>
    <w:p>
      <w:pPr>
        <w:pStyle w:val="BodyText"/>
        <w:spacing w:before="51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General’s</w:t>
      </w:r>
      <w:r>
        <w:rPr>
          <w:color w:val="6E6158"/>
          <w:spacing w:val="13"/>
        </w:rPr>
        <w:t> </w:t>
      </w:r>
      <w:r>
        <w:rPr>
          <w:color w:val="6E6158"/>
        </w:rPr>
        <w:t>Office,</w:t>
      </w:r>
      <w:r>
        <w:rPr>
          <w:color w:val="6E6158"/>
          <w:spacing w:val="14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74"/>
        <w:ind w:right="366"/>
      </w:pPr>
      <w:r>
        <w:rPr>
          <w:color w:val="6E6158"/>
        </w:rPr>
        <w:t>“Civil Litigation Rules and Case Law Update” (panelist), State Bar of Arizona Convention,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32"/>
        <w:ind w:right="994"/>
      </w:pPr>
      <w:r>
        <w:rPr>
          <w:color w:val="6E6158"/>
        </w:rPr>
        <w:t>“2015 Civil Practice and Procedure Symposium,” State Bar of Arizona, Seminar Chair </w:t>
      </w:r>
      <w:r>
        <w:rPr>
          <w:color w:val="6E6158"/>
        </w:rPr>
        <w:t>and Panelist, April 2015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“The Rules They Are A-Changin’ (Again): 2015 Arizona Civil Rules Update,” State Bar of Arizona,</w:t>
      </w:r>
      <w:r>
        <w:rPr>
          <w:color w:val="6E6158"/>
          <w:spacing w:val="40"/>
        </w:rPr>
        <w:t> </w:t>
      </w:r>
      <w:r>
        <w:rPr>
          <w:color w:val="6E6158"/>
        </w:rPr>
        <w:t>Panelist, January 2015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289"/>
      </w:pPr>
      <w:r>
        <w:rPr>
          <w:color w:val="6E6158"/>
        </w:rPr>
        <w:t>State Bar of Arizona: Civil Practice and Procedure Committee (Chair, 2011-2014; member, 2000-present); Ethical Rule 1.15 Task Force; Business Section</w:t>
      </w:r>
    </w:p>
    <w:p>
      <w:pPr>
        <w:pStyle w:val="BodyText"/>
        <w:spacing w:before="124"/>
      </w:pPr>
      <w:r>
        <w:rPr>
          <w:color w:val="6E6158"/>
        </w:rPr>
        <w:t>Committee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</w:rPr>
        <w:t>Superior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Judicial</w:t>
      </w:r>
      <w:r>
        <w:rPr>
          <w:color w:val="6E6158"/>
          <w:spacing w:val="12"/>
        </w:rPr>
        <w:t> </w:t>
      </w:r>
      <w:r>
        <w:rPr>
          <w:color w:val="6E6158"/>
        </w:rPr>
        <w:t>Council</w:t>
      </w:r>
      <w:r>
        <w:rPr>
          <w:color w:val="6E6158"/>
          <w:spacing w:val="13"/>
        </w:rPr>
        <w:t> </w:t>
      </w:r>
      <w:r>
        <w:rPr>
          <w:color w:val="6E6158"/>
        </w:rPr>
        <w:t>(State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Representative)</w:t>
      </w:r>
    </w:p>
    <w:p>
      <w:pPr>
        <w:pStyle w:val="BodyText"/>
        <w:spacing w:line="292" w:lineRule="auto" w:before="182"/>
        <w:ind w:right="480"/>
      </w:pPr>
      <w:r>
        <w:rPr>
          <w:color w:val="6E6158"/>
        </w:rPr>
        <w:t>Member, The American Law Institute, which drafts and sponsors the Restatements of the </w:t>
      </w:r>
      <w:r>
        <w:rPr>
          <w:color w:val="6E6158"/>
        </w:rPr>
        <w:t>Law and the Uniform Commercial Code</w:t>
      </w:r>
    </w:p>
    <w:p>
      <w:pPr>
        <w:pStyle w:val="BodyText"/>
        <w:spacing w:before="123"/>
      </w:pPr>
      <w:r>
        <w:rPr>
          <w:color w:val="6E6158"/>
        </w:rPr>
        <w:t>Coach,</w:t>
      </w:r>
      <w:r>
        <w:rPr>
          <w:color w:val="6E6158"/>
          <w:spacing w:val="10"/>
        </w:rPr>
        <w:t> </w:t>
      </w:r>
      <w:r>
        <w:rPr>
          <w:color w:val="6E6158"/>
        </w:rPr>
        <w:t>Veritas</w:t>
      </w:r>
      <w:r>
        <w:rPr>
          <w:color w:val="6E6158"/>
          <w:spacing w:val="11"/>
        </w:rPr>
        <w:t> </w:t>
      </w:r>
      <w:r>
        <w:rPr>
          <w:color w:val="6E6158"/>
        </w:rPr>
        <w:t>Preparatory</w:t>
      </w:r>
      <w:r>
        <w:rPr>
          <w:color w:val="6E6158"/>
          <w:spacing w:val="11"/>
        </w:rPr>
        <w:t> </w:t>
      </w:r>
      <w:r>
        <w:rPr>
          <w:color w:val="6E6158"/>
        </w:rPr>
        <w:t>Academy</w:t>
      </w:r>
      <w:r>
        <w:rPr>
          <w:color w:val="6E6158"/>
          <w:spacing w:val="10"/>
        </w:rPr>
        <w:t> </w:t>
      </w:r>
      <w:r>
        <w:rPr>
          <w:color w:val="6E6158"/>
        </w:rPr>
        <w:t>Mock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Team,</w:t>
      </w:r>
      <w:r>
        <w:rPr>
          <w:color w:val="6E6158"/>
          <w:spacing w:val="10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</w:pPr>
      <w:r>
        <w:rPr>
          <w:color w:val="6E6158"/>
        </w:rPr>
        <w:t>Adjunct Professor, Civil Pretrial Practice, Sandra Day O’Connor College of Law, Arizona State University, 2018-2022</w:t>
      </w:r>
    </w:p>
    <w:p>
      <w:pPr>
        <w:pStyle w:val="BodyText"/>
        <w:spacing w:line="420" w:lineRule="auto" w:before="113"/>
        <w:ind w:right="1928"/>
      </w:pPr>
      <w:r>
        <w:rPr>
          <w:color w:val="6E6158"/>
        </w:rPr>
        <w:t>Advisory Committee on Rules of Evidence, Arizona Supreme Court, 2012-</w:t>
      </w:r>
      <w:r>
        <w:rPr>
          <w:color w:val="6E6158"/>
        </w:rPr>
        <w:t>2018 Committee on Civil Justice Reform, Arizona Supreme Court, 2017</w:t>
      </w:r>
    </w:p>
    <w:p>
      <w:pPr>
        <w:pStyle w:val="BodyText"/>
        <w:spacing w:line="420" w:lineRule="auto" w:before="6"/>
        <w:ind w:right="384"/>
      </w:pPr>
      <w:r>
        <w:rPr>
          <w:color w:val="6E6158"/>
        </w:rPr>
        <w:t>Task Force on the Arizona Rules of Civil Procedure, Arizona Supreme Court: Co- Chair, 2014-2016 Business Court Advisory Committee, Arizona Supreme Court, 2015</w:t>
      </w:r>
    </w:p>
    <w:p>
      <w:pPr>
        <w:pStyle w:val="BodyText"/>
        <w:spacing w:line="231" w:lineRule="exact"/>
      </w:pPr>
      <w:r>
        <w:rPr>
          <w:color w:val="6E6158"/>
        </w:rPr>
        <w:t>Commercial</w:t>
      </w:r>
      <w:r>
        <w:rPr>
          <w:color w:val="6E6158"/>
          <w:spacing w:val="16"/>
        </w:rPr>
        <w:t> </w:t>
      </w:r>
      <w:r>
        <w:rPr>
          <w:color w:val="6E6158"/>
        </w:rPr>
        <w:t>Court</w:t>
      </w:r>
      <w:r>
        <w:rPr>
          <w:color w:val="6E6158"/>
          <w:spacing w:val="16"/>
        </w:rPr>
        <w:t> </w:t>
      </w:r>
      <w:r>
        <w:rPr>
          <w:color w:val="6E6158"/>
        </w:rPr>
        <w:t>Review</w:t>
      </w:r>
      <w:r>
        <w:rPr>
          <w:color w:val="6E6158"/>
          <w:spacing w:val="16"/>
        </w:rPr>
        <w:t> </w:t>
      </w:r>
      <w:r>
        <w:rPr>
          <w:color w:val="6E6158"/>
        </w:rPr>
        <w:t>Committee,</w:t>
      </w:r>
      <w:r>
        <w:rPr>
          <w:color w:val="6E6158"/>
          <w:spacing w:val="17"/>
        </w:rPr>
        <w:t> </w:t>
      </w:r>
      <w:r>
        <w:rPr>
          <w:color w:val="6E6158"/>
        </w:rPr>
        <w:t>Arizona</w:t>
      </w:r>
      <w:r>
        <w:rPr>
          <w:color w:val="6E6158"/>
          <w:spacing w:val="16"/>
        </w:rPr>
        <w:t> </w:t>
      </w:r>
      <w:r>
        <w:rPr>
          <w:color w:val="6E6158"/>
        </w:rPr>
        <w:t>Supreme</w:t>
      </w:r>
      <w:r>
        <w:rPr>
          <w:color w:val="6E6158"/>
          <w:spacing w:val="16"/>
        </w:rPr>
        <w:t> </w:t>
      </w:r>
      <w:r>
        <w:rPr>
          <w:color w:val="6E6158"/>
        </w:rPr>
        <w:t>Court,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422" w:lineRule="auto" w:before="174"/>
        <w:ind w:right="723"/>
      </w:pPr>
      <w:r>
        <w:rPr>
          <w:color w:val="6E6158"/>
        </w:rPr>
        <w:t>Case Management and Trial Setting Task Force, Administrative Office of the Court, 2013 Commercial Court Practices and Procedure Committee, Maricopa County Superior </w:t>
      </w:r>
      <w:r>
        <w:rPr>
          <w:color w:val="6E6158"/>
        </w:rPr>
        <w:t>Court Civil Study Committee, Maricopa County Superior Court</w:t>
      </w:r>
    </w:p>
    <w:p>
      <w:pPr>
        <w:pStyle w:val="BodyText"/>
        <w:spacing w:line="292" w:lineRule="auto"/>
        <w:ind w:right="480"/>
      </w:pPr>
      <w:r>
        <w:rPr>
          <w:color w:val="6E6158"/>
        </w:rPr>
        <w:t>Committee on Civil Rules of Procedure for Limited Jurisdiction Courts, Arizona Supreme </w:t>
      </w:r>
      <w:r>
        <w:rPr>
          <w:color w:val="6E6158"/>
        </w:rPr>
        <w:t>Court,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2011-2012</w:t>
      </w:r>
    </w:p>
    <w:p>
      <w:pPr>
        <w:pStyle w:val="BodyText"/>
        <w:spacing w:before="130"/>
      </w:pP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line="420" w:lineRule="auto" w:before="174"/>
        <w:ind w:right="4651"/>
      </w:pPr>
      <w:r>
        <w:rPr>
          <w:color w:val="6E6158"/>
        </w:rPr>
        <w:t>Past President, Scottsdale Bar Association Member, Maricopa County Bar </w:t>
      </w:r>
      <w:r>
        <w:rPr>
          <w:color w:val="6E6158"/>
        </w:rPr>
        <w:t>Association Thurgood Marshall Inn of Court</w:t>
      </w:r>
    </w:p>
    <w:p>
      <w:pPr>
        <w:pStyle w:val="Heading2"/>
        <w:spacing w:before="289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813"/>
      </w:pPr>
      <w:r>
        <w:rPr>
          <w:color w:val="6E6158"/>
          <w:spacing w:val="-2"/>
        </w:rPr>
        <w:t>Arizona Colorado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wklain@fennemorelaw.com" TargetMode="External"/><Relationship Id="rId11" Type="http://schemas.openxmlformats.org/officeDocument/2006/relationships/hyperlink" Target="https://azbigmedia.com/business/the-top-100-lawyers-in-arizona-for-2026/" TargetMode="External"/><Relationship Id="rId12" Type="http://schemas.openxmlformats.org/officeDocument/2006/relationships/hyperlink" Target="https://www.fennemorelaw.com/disgorgement-without-harm-ninth-circuit-sets-new-stakes-for-public-companies-and-investors-across-the-western-united-states/" TargetMode="External"/><Relationship Id="rId13" Type="http://schemas.openxmlformats.org/officeDocument/2006/relationships/hyperlink" Target="https://www.bizjournals.com/phoenix/news/2025/04/04/arizona-commercial-court-business-litigants.html" TargetMode="External"/><Relationship Id="rId14" Type="http://schemas.openxmlformats.org/officeDocument/2006/relationships/hyperlink" Target="https://azbigmedia.com/publications/azbusiness-january-february-2025/" TargetMode="External"/><Relationship Id="rId15" Type="http://schemas.openxmlformats.org/officeDocument/2006/relationships/hyperlink" Target="https://www.fennemorelaw.com/seven-significant-differences-between-arizona-and-federal-civil-procedure-in-2024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G. Klain - Fennemore</dc:title>
  <dcterms:created xsi:type="dcterms:W3CDTF">2026-08-27T15:21:18Z</dcterms:created>
  <dcterms:modified xsi:type="dcterms:W3CDTF">2026-08-27T15:21:18Z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