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2888615"/>
                <wp:effectExtent l="0" t="0" r="0" b="698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AndrewMay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586112" y="1369338"/>
                            <a:ext cx="1932939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2939" h="320675">
                                <a:moveTo>
                                  <a:pt x="1932571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932571" y="320382"/>
                                </a:lnTo>
                                <a:lnTo>
                                  <a:pt x="1932571" y="315214"/>
                                </a:lnTo>
                                <a:close/>
                              </a:path>
                              <a:path w="1932939" h="320675">
                                <a:moveTo>
                                  <a:pt x="19325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932571" y="5168"/>
                                </a:lnTo>
                                <a:lnTo>
                                  <a:pt x="1932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620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31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ANDREW S. 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39"/>
                                </w:rPr>
                                <w:t>MAY</w:t>
                              </w:r>
                            </w:p>
                            <w:p>
                              <w:pPr>
                                <w:spacing w:before="39"/>
                                <w:ind w:left="0" w:right="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Fennemore</w:t>
                                </w:r>
                                <w:r>
                                  <w:rPr>
                                    <w:color w:val="FFFFFF"/>
                                    <w:spacing w:val="7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Forward</w:t>
                                </w:r>
                              </w:hyperlink>
                            </w:p>
                            <w:p>
                              <w:pPr>
                                <w:spacing w:before="55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224.786.2871</w:t>
                              </w:r>
                            </w:p>
                            <w:p>
                              <w:pPr>
                                <w:spacing w:before="119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amay@fennemorelaw.com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27.45pt;mso-position-horizontal-relative:char;mso-position-vertical-relative:line" id="docshapegroup1" coordorigin="0,0" coordsize="9562,4549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126" type="#_x0000_t75" id="docshape3" alt="AndrewMay bio" stroked="false">
                  <v:imagedata r:id="rId7" o:title=""/>
                </v:shape>
                <v:rect style="position:absolute;left:4784;top:423;width:4777;height:4126" id="docshape4" filled="true" fillcolor="#262424" stroked="false">
                  <v:fill type="solid"/>
                </v:rect>
                <v:shape style="position:absolute;left:5647;top:2156;width:3044;height:505" id="docshape5" coordorigin="5647,2156" coordsize="3044,505" path="m8691,2653l5647,2653,5647,2661,8691,2661,8691,2653xm8691,2156l5647,2156,5647,2165,8691,2165,8691,215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126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31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ANDREW S. </w:t>
                        </w:r>
                        <w:r>
                          <w:rPr>
                            <w:color w:val="FFFFFF"/>
                            <w:spacing w:val="-5"/>
                            <w:sz w:val="39"/>
                          </w:rPr>
                          <w:t>MAY</w:t>
                        </w:r>
                      </w:p>
                      <w:p>
                        <w:pPr>
                          <w:spacing w:before="39"/>
                          <w:ind w:left="0" w:right="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Fennemore</w:t>
                          </w:r>
                          <w:r>
                            <w:rPr>
                              <w:color w:val="FFFFFF"/>
                              <w:spacing w:val="7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Forward</w:t>
                          </w:r>
                        </w:hyperlink>
                      </w:p>
                      <w:p>
                        <w:pPr>
                          <w:spacing w:before="55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224.786.2871</w:t>
                        </w:r>
                      </w:p>
                      <w:p>
                        <w:pPr>
                          <w:spacing w:before="119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amay@fennemorelaw.com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67"/>
      </w:pPr>
      <w:r>
        <w:rPr>
          <w:color w:val="FF8100"/>
        </w:rPr>
        <w:t>ANDREW</w:t>
      </w:r>
      <w:r>
        <w:rPr>
          <w:color w:val="FF8100"/>
          <w:spacing w:val="6"/>
        </w:rPr>
        <w:t> </w:t>
      </w:r>
      <w:r>
        <w:rPr>
          <w:color w:val="FF8100"/>
        </w:rPr>
        <w:t>S.</w:t>
      </w:r>
      <w:r>
        <w:rPr>
          <w:color w:val="FF8100"/>
          <w:spacing w:val="7"/>
        </w:rPr>
        <w:t> </w:t>
      </w:r>
      <w:r>
        <w:rPr>
          <w:color w:val="FF8100"/>
          <w:spacing w:val="-5"/>
        </w:rPr>
        <w:t>MAY</w:t>
      </w:r>
    </w:p>
    <w:p>
      <w:pPr>
        <w:pStyle w:val="BodyText"/>
        <w:spacing w:line="295" w:lineRule="auto" w:before="147"/>
        <w:ind w:right="609"/>
      </w:pPr>
      <w:r>
        <w:rPr>
          <w:color w:val="6E6158"/>
        </w:rPr>
        <w:t>Andrew S. May is a senior financial services, securities, and commodities attorney representing</w:t>
      </w:r>
      <w:r>
        <w:rPr>
          <w:color w:val="6E6158"/>
          <w:spacing w:val="40"/>
        </w:rPr>
        <w:t> </w:t>
      </w:r>
      <w:r>
        <w:rPr>
          <w:color w:val="6E6158"/>
        </w:rPr>
        <w:t>licensed individuals and entities in litigation, regulatory, and transactional matters. He has more</w:t>
      </w:r>
      <w:r>
        <w:rPr>
          <w:color w:val="6E6158"/>
          <w:spacing w:val="40"/>
        </w:rPr>
        <w:t> </w:t>
      </w:r>
      <w:r>
        <w:rPr>
          <w:color w:val="6E6158"/>
        </w:rPr>
        <w:t>than 30 years of experience advising businesses and financial industry professionals on </w:t>
      </w:r>
      <w:r>
        <w:rPr>
          <w:color w:val="6E6158"/>
        </w:rPr>
        <w:t>regulatory</w:t>
      </w:r>
      <w:r>
        <w:rPr>
          <w:color w:val="6E6158"/>
          <w:spacing w:val="40"/>
        </w:rPr>
        <w:t> </w:t>
      </w:r>
      <w:r>
        <w:rPr>
          <w:color w:val="6E6158"/>
        </w:rPr>
        <w:t>compliance,</w:t>
      </w:r>
      <w:r>
        <w:rPr>
          <w:color w:val="6E6158"/>
          <w:spacing w:val="40"/>
        </w:rPr>
        <w:t> </w:t>
      </w:r>
      <w:r>
        <w:rPr>
          <w:color w:val="6E6158"/>
        </w:rPr>
        <w:t>government</w:t>
      </w:r>
      <w:r>
        <w:rPr>
          <w:color w:val="6E6158"/>
          <w:spacing w:val="40"/>
        </w:rPr>
        <w:t> </w:t>
      </w:r>
      <w:r>
        <w:rPr>
          <w:color w:val="6E6158"/>
        </w:rPr>
        <w:t>investigations,</w:t>
      </w:r>
      <w:r>
        <w:rPr>
          <w:color w:val="6E6158"/>
          <w:spacing w:val="40"/>
        </w:rPr>
        <w:t> </w:t>
      </w:r>
      <w:r>
        <w:rPr>
          <w:color w:val="6E6158"/>
        </w:rPr>
        <w:t>enforcement</w:t>
      </w:r>
      <w:r>
        <w:rPr>
          <w:color w:val="6E6158"/>
          <w:spacing w:val="40"/>
        </w:rPr>
        <w:t> </w:t>
      </w:r>
      <w:r>
        <w:rPr>
          <w:color w:val="6E6158"/>
        </w:rPr>
        <w:t>actions,</w:t>
      </w:r>
      <w:r>
        <w:rPr>
          <w:color w:val="6E6158"/>
          <w:spacing w:val="40"/>
        </w:rPr>
        <w:t> </w:t>
      </w:r>
      <w:r>
        <w:rPr>
          <w:color w:val="6E6158"/>
        </w:rPr>
        <w:t>arbitration,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transactional</w:t>
      </w:r>
    </w:p>
    <w:p>
      <w:pPr>
        <w:pStyle w:val="BodyText"/>
        <w:spacing w:before="9"/>
      </w:pPr>
      <w:r>
        <w:rPr>
          <w:color w:val="6E6158"/>
        </w:rPr>
        <w:t>matters.</w:t>
      </w:r>
      <w:r>
        <w:rPr>
          <w:color w:val="6E6158"/>
          <w:spacing w:val="13"/>
        </w:rPr>
        <w:t> </w:t>
      </w:r>
      <w:r>
        <w:rPr>
          <w:color w:val="6E6158"/>
        </w:rPr>
        <w:t>Based</w:t>
      </w:r>
      <w:r>
        <w:rPr>
          <w:color w:val="6E6158"/>
          <w:spacing w:val="13"/>
        </w:rPr>
        <w:t> </w:t>
      </w:r>
      <w:r>
        <w:rPr>
          <w:color w:val="6E6158"/>
        </w:rPr>
        <w:t>in</w:t>
      </w:r>
      <w:r>
        <w:rPr>
          <w:color w:val="6E6158"/>
          <w:spacing w:val="14"/>
        </w:rPr>
        <w:t> </w:t>
      </w:r>
      <w:r>
        <w:rPr>
          <w:color w:val="6E6158"/>
        </w:rPr>
        <w:t>Chicago,</w:t>
      </w:r>
      <w:r>
        <w:rPr>
          <w:color w:val="6E6158"/>
          <w:spacing w:val="13"/>
        </w:rPr>
        <w:t> </w:t>
      </w:r>
      <w:r>
        <w:rPr>
          <w:color w:val="6E6158"/>
        </w:rPr>
        <w:t>Andrew</w:t>
      </w:r>
      <w:r>
        <w:rPr>
          <w:color w:val="6E6158"/>
          <w:spacing w:val="14"/>
        </w:rPr>
        <w:t> </w:t>
      </w:r>
      <w:r>
        <w:rPr>
          <w:color w:val="6E6158"/>
        </w:rPr>
        <w:t>represents</w:t>
      </w:r>
      <w:r>
        <w:rPr>
          <w:color w:val="6E6158"/>
          <w:spacing w:val="13"/>
        </w:rPr>
        <w:t> </w:t>
      </w:r>
      <w:r>
        <w:rPr>
          <w:color w:val="6E6158"/>
        </w:rPr>
        <w:t>businesses</w:t>
      </w:r>
      <w:r>
        <w:rPr>
          <w:color w:val="6E6158"/>
          <w:spacing w:val="13"/>
        </w:rPr>
        <w:t> </w:t>
      </w:r>
      <w:r>
        <w:rPr>
          <w:color w:val="6E6158"/>
        </w:rPr>
        <w:t>across</w:t>
      </w:r>
      <w:r>
        <w:rPr>
          <w:color w:val="6E6158"/>
          <w:spacing w:val="14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securities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futures</w:t>
      </w:r>
    </w:p>
    <w:p>
      <w:pPr>
        <w:pStyle w:val="BodyText"/>
        <w:spacing w:line="292" w:lineRule="auto" w:before="52"/>
        <w:ind w:right="609"/>
      </w:pPr>
      <w:r>
        <w:rPr>
          <w:color w:val="6E6158"/>
        </w:rPr>
        <w:t>industries, helping them navigate complex federal regulations, industry rules, </w:t>
      </w:r>
      <w:r>
        <w:rPr>
          <w:color w:val="6E6158"/>
        </w:rPr>
        <w:t>examinations,</w:t>
      </w:r>
      <w:r>
        <w:rPr>
          <w:color w:val="6E6158"/>
          <w:spacing w:val="40"/>
        </w:rPr>
        <w:t> </w:t>
      </w:r>
      <w:r>
        <w:rPr>
          <w:color w:val="6E6158"/>
        </w:rPr>
        <w:t>disputes, and evolving compliance requirements.</w:t>
      </w:r>
    </w:p>
    <w:p>
      <w:pPr>
        <w:pStyle w:val="BodyText"/>
        <w:spacing w:line="297" w:lineRule="auto" w:before="196"/>
        <w:ind w:right="609"/>
      </w:pPr>
      <w:r>
        <w:rPr>
          <w:color w:val="6E6158"/>
        </w:rPr>
        <w:t>Andrew represents futures commission merchants (FCMs), introducing brokers, commodity pool</w:t>
      </w:r>
      <w:r>
        <w:rPr>
          <w:color w:val="6E6158"/>
          <w:spacing w:val="40"/>
        </w:rPr>
        <w:t> </w:t>
      </w:r>
      <w:r>
        <w:rPr>
          <w:color w:val="6E6158"/>
        </w:rPr>
        <w:t>operators (CPOs), commodity trading advisors (CTAs), proprietary trading firms and traders,</w:t>
      </w:r>
      <w:r>
        <w:rPr>
          <w:color w:val="6E6158"/>
          <w:spacing w:val="40"/>
        </w:rPr>
        <w:t> </w:t>
      </w:r>
      <w:r>
        <w:rPr>
          <w:color w:val="6E6158"/>
        </w:rPr>
        <w:t>registered</w:t>
      </w:r>
      <w:r>
        <w:rPr>
          <w:color w:val="6E6158"/>
          <w:spacing w:val="40"/>
        </w:rPr>
        <w:t> </w:t>
      </w:r>
      <w:r>
        <w:rPr>
          <w:color w:val="6E6158"/>
        </w:rPr>
        <w:t>investment</w:t>
      </w:r>
      <w:r>
        <w:rPr>
          <w:color w:val="6E6158"/>
          <w:spacing w:val="40"/>
        </w:rPr>
        <w:t> </w:t>
      </w:r>
      <w:r>
        <w:rPr>
          <w:color w:val="6E6158"/>
        </w:rPr>
        <w:t>advisers</w:t>
      </w:r>
      <w:r>
        <w:rPr>
          <w:color w:val="6E6158"/>
          <w:spacing w:val="40"/>
        </w:rPr>
        <w:t> </w:t>
      </w:r>
      <w:r>
        <w:rPr>
          <w:color w:val="6E6158"/>
        </w:rPr>
        <w:t>(RIAs),</w:t>
      </w:r>
      <w:r>
        <w:rPr>
          <w:color w:val="6E6158"/>
          <w:spacing w:val="40"/>
        </w:rPr>
        <w:t> </w:t>
      </w:r>
      <w:r>
        <w:rPr>
          <w:color w:val="6E6158"/>
        </w:rPr>
        <w:t>broker-dealers,</w:t>
      </w:r>
      <w:r>
        <w:rPr>
          <w:color w:val="6E6158"/>
          <w:spacing w:val="40"/>
        </w:rPr>
        <w:t> </w:t>
      </w:r>
      <w:r>
        <w:rPr>
          <w:color w:val="6E6158"/>
        </w:rPr>
        <w:t>registered</w:t>
      </w:r>
      <w:r>
        <w:rPr>
          <w:color w:val="6E6158"/>
          <w:spacing w:val="40"/>
        </w:rPr>
        <w:t> </w:t>
      </w:r>
      <w:r>
        <w:rPr>
          <w:color w:val="6E6158"/>
        </w:rPr>
        <w:t>representatives,</w:t>
      </w:r>
      <w:r>
        <w:rPr>
          <w:color w:val="6E6158"/>
          <w:spacing w:val="40"/>
        </w:rPr>
        <w:t> </w:t>
      </w:r>
      <w:r>
        <w:rPr>
          <w:color w:val="6E6158"/>
        </w:rPr>
        <w:t>hedge</w:t>
      </w:r>
      <w:r>
        <w:rPr>
          <w:color w:val="6E6158"/>
          <w:spacing w:val="40"/>
        </w:rPr>
        <w:t> </w:t>
      </w:r>
      <w:r>
        <w:rPr>
          <w:color w:val="6E6158"/>
        </w:rPr>
        <w:t>funds, and</w:t>
      </w:r>
      <w:r>
        <w:rPr>
          <w:color w:val="6E6158"/>
          <w:spacing w:val="29"/>
        </w:rPr>
        <w:t> </w:t>
      </w:r>
      <w:r>
        <w:rPr>
          <w:color w:val="6E6158"/>
        </w:rPr>
        <w:t>other</w:t>
      </w:r>
      <w:r>
        <w:rPr>
          <w:color w:val="6E6158"/>
          <w:spacing w:val="29"/>
        </w:rPr>
        <w:t> </w:t>
      </w:r>
      <w:r>
        <w:rPr>
          <w:color w:val="6E6158"/>
        </w:rPr>
        <w:t>financial</w:t>
      </w:r>
      <w:r>
        <w:rPr>
          <w:color w:val="6E6158"/>
          <w:spacing w:val="29"/>
        </w:rPr>
        <w:t> </w:t>
      </w:r>
      <w:r>
        <w:rPr>
          <w:color w:val="6E6158"/>
        </w:rPr>
        <w:t>services</w:t>
      </w:r>
      <w:r>
        <w:rPr>
          <w:color w:val="6E6158"/>
          <w:spacing w:val="29"/>
        </w:rPr>
        <w:t> </w:t>
      </w:r>
      <w:r>
        <w:rPr>
          <w:color w:val="6E6158"/>
        </w:rPr>
        <w:t>businesses.</w:t>
      </w:r>
      <w:r>
        <w:rPr>
          <w:color w:val="6E6158"/>
          <w:spacing w:val="29"/>
        </w:rPr>
        <w:t> </w:t>
      </w:r>
      <w:r>
        <w:rPr>
          <w:color w:val="6E6158"/>
        </w:rPr>
        <w:t>He</w:t>
      </w:r>
      <w:r>
        <w:rPr>
          <w:color w:val="6E6158"/>
          <w:spacing w:val="29"/>
        </w:rPr>
        <w:t> </w:t>
      </w:r>
      <w:r>
        <w:rPr>
          <w:color w:val="6E6158"/>
        </w:rPr>
        <w:t>takes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time</w:t>
      </w:r>
      <w:r>
        <w:rPr>
          <w:color w:val="6E6158"/>
          <w:spacing w:val="29"/>
        </w:rPr>
        <w:t> </w:t>
      </w:r>
      <w:r>
        <w:rPr>
          <w:color w:val="6E6158"/>
        </w:rPr>
        <w:t>to</w:t>
      </w:r>
      <w:r>
        <w:rPr>
          <w:color w:val="6E6158"/>
          <w:spacing w:val="29"/>
        </w:rPr>
        <w:t> </w:t>
      </w:r>
      <w:r>
        <w:rPr>
          <w:color w:val="6E6158"/>
        </w:rPr>
        <w:t>understand</w:t>
      </w:r>
      <w:r>
        <w:rPr>
          <w:color w:val="6E6158"/>
          <w:spacing w:val="29"/>
        </w:rPr>
        <w:t> </w:t>
      </w:r>
      <w:r>
        <w:rPr>
          <w:color w:val="6E6158"/>
        </w:rPr>
        <w:t>how</w:t>
      </w:r>
      <w:r>
        <w:rPr>
          <w:color w:val="6E6158"/>
          <w:spacing w:val="29"/>
        </w:rPr>
        <w:t> </w:t>
      </w:r>
      <w:r>
        <w:rPr>
          <w:color w:val="6E6158"/>
        </w:rPr>
        <w:t>each</w:t>
      </w:r>
      <w:r>
        <w:rPr>
          <w:color w:val="6E6158"/>
          <w:spacing w:val="29"/>
        </w:rPr>
        <w:t> </w:t>
      </w:r>
      <w:r>
        <w:rPr>
          <w:color w:val="6E6158"/>
        </w:rPr>
        <w:t>client operates and approaches regulatory and business issues with an appreciation for both the </w:t>
      </w:r>
      <w:r>
        <w:rPr>
          <w:color w:val="6E6158"/>
        </w:rPr>
        <w:t>legal</w:t>
      </w:r>
      <w:r>
        <w:rPr>
          <w:color w:val="6E6158"/>
          <w:spacing w:val="40"/>
        </w:rPr>
        <w:t> </w:t>
      </w:r>
      <w:r>
        <w:rPr>
          <w:color w:val="6E6158"/>
        </w:rPr>
        <w:t>requirements and the practical realities of the financial markets.</w:t>
      </w:r>
    </w:p>
    <w:p>
      <w:pPr>
        <w:pStyle w:val="BodyText"/>
        <w:spacing w:line="295" w:lineRule="auto" w:before="188"/>
        <w:ind w:right="609"/>
      </w:pPr>
      <w:r>
        <w:rPr>
          <w:color w:val="6E6158"/>
        </w:rPr>
        <w:t>A significant part of Andrew’s practice involves securities and commodities regulatory</w:t>
      </w:r>
      <w:r>
        <w:rPr>
          <w:color w:val="6E6158"/>
          <w:spacing w:val="40"/>
        </w:rPr>
        <w:t> </w:t>
      </w:r>
      <w:r>
        <w:rPr>
          <w:color w:val="6E6158"/>
        </w:rPr>
        <w:t>enforcement, examinations, and investigations. He represents clients in matters involving the</w:t>
      </w:r>
      <w:r>
        <w:rPr>
          <w:color w:val="6E6158"/>
          <w:spacing w:val="40"/>
        </w:rPr>
        <w:t> </w:t>
      </w:r>
      <w:r>
        <w:rPr>
          <w:color w:val="6E6158"/>
        </w:rPr>
        <w:t>Securities and Exchange Commission (SEC), Commodity Futures Trading Commission (CFTC),</w:t>
      </w:r>
      <w:r>
        <w:rPr>
          <w:color w:val="6E6158"/>
          <w:spacing w:val="40"/>
        </w:rPr>
        <w:t> </w:t>
      </w:r>
      <w:r>
        <w:rPr>
          <w:color w:val="6E6158"/>
        </w:rPr>
        <w:t>Financial Industry Regulatory Authority (FINRA), National Futures Association (NFA), Chicago</w:t>
      </w:r>
      <w:r>
        <w:rPr>
          <w:color w:val="6E6158"/>
          <w:spacing w:val="40"/>
        </w:rPr>
        <w:t> </w:t>
      </w:r>
      <w:r>
        <w:rPr>
          <w:color w:val="6E6158"/>
        </w:rPr>
        <w:t>Mercantile</w:t>
      </w:r>
      <w:r>
        <w:rPr>
          <w:color w:val="6E6158"/>
          <w:spacing w:val="19"/>
        </w:rPr>
        <w:t> </w:t>
      </w:r>
      <w:r>
        <w:rPr>
          <w:color w:val="6E6158"/>
        </w:rPr>
        <w:t>Exchange</w:t>
      </w:r>
      <w:r>
        <w:rPr>
          <w:color w:val="6E6158"/>
          <w:spacing w:val="19"/>
        </w:rPr>
        <w:t> </w:t>
      </w:r>
      <w:r>
        <w:rPr>
          <w:color w:val="6E6158"/>
        </w:rPr>
        <w:t>(CME),</w:t>
      </w:r>
      <w:r>
        <w:rPr>
          <w:color w:val="6E6158"/>
          <w:spacing w:val="19"/>
        </w:rPr>
        <w:t> </w:t>
      </w:r>
      <w:r>
        <w:rPr>
          <w:color w:val="6E6158"/>
        </w:rPr>
        <w:t>Chicago</w:t>
      </w:r>
      <w:r>
        <w:rPr>
          <w:color w:val="6E6158"/>
          <w:spacing w:val="19"/>
        </w:rPr>
        <w:t> </w:t>
      </w:r>
      <w:r>
        <w:rPr>
          <w:color w:val="6E6158"/>
        </w:rPr>
        <w:t>Board</w:t>
      </w:r>
      <w:r>
        <w:rPr>
          <w:color w:val="6E6158"/>
          <w:spacing w:val="19"/>
        </w:rPr>
        <w:t> </w:t>
      </w:r>
      <w:r>
        <w:rPr>
          <w:color w:val="6E6158"/>
        </w:rPr>
        <w:t>Options</w:t>
      </w:r>
      <w:r>
        <w:rPr>
          <w:color w:val="6E6158"/>
          <w:spacing w:val="19"/>
        </w:rPr>
        <w:t> </w:t>
      </w:r>
      <w:r>
        <w:rPr>
          <w:color w:val="6E6158"/>
        </w:rPr>
        <w:t>Exchange</w:t>
      </w:r>
      <w:r>
        <w:rPr>
          <w:color w:val="6E6158"/>
          <w:spacing w:val="19"/>
        </w:rPr>
        <w:t> </w:t>
      </w:r>
      <w:r>
        <w:rPr>
          <w:color w:val="6E6158"/>
        </w:rPr>
        <w:t>(CBOE),</w:t>
      </w:r>
      <w:r>
        <w:rPr>
          <w:color w:val="6E6158"/>
          <w:spacing w:val="19"/>
        </w:rPr>
        <w:t> </w:t>
      </w:r>
      <w:r>
        <w:rPr>
          <w:color w:val="6E6158"/>
        </w:rPr>
        <w:t>and</w:t>
      </w:r>
      <w:r>
        <w:rPr>
          <w:color w:val="6E6158"/>
          <w:spacing w:val="19"/>
        </w:rPr>
        <w:t> </w:t>
      </w:r>
      <w:r>
        <w:rPr>
          <w:color w:val="6E6158"/>
        </w:rPr>
        <w:t>other</w:t>
      </w:r>
      <w:r>
        <w:rPr>
          <w:color w:val="6E6158"/>
          <w:spacing w:val="19"/>
        </w:rPr>
        <w:t> </w:t>
      </w:r>
      <w:r>
        <w:rPr>
          <w:color w:val="6E6158"/>
        </w:rPr>
        <w:t>securities</w:t>
      </w:r>
    </w:p>
    <w:p>
      <w:pPr>
        <w:pStyle w:val="BodyText"/>
        <w:spacing w:line="302" w:lineRule="auto"/>
        <w:ind w:right="780"/>
      </w:pPr>
      <w:r>
        <w:rPr>
          <w:color w:val="6E6158"/>
        </w:rPr>
        <w:t>and commodities exchanges and regulatory organizations. He also represents clients in </w:t>
      </w:r>
      <w:r>
        <w:rPr>
          <w:color w:val="6E6158"/>
        </w:rPr>
        <w:t>FINRA</w:t>
      </w:r>
      <w:r>
        <w:rPr>
          <w:color w:val="6E6158"/>
          <w:spacing w:val="40"/>
        </w:rPr>
        <w:t> </w:t>
      </w:r>
      <w:r>
        <w:rPr>
          <w:color w:val="6E6158"/>
        </w:rPr>
        <w:t>and NFA arbitrations and other financial industry disputes.</w:t>
      </w:r>
    </w:p>
    <w:p>
      <w:pPr>
        <w:pStyle w:val="BodyText"/>
        <w:spacing w:line="292" w:lineRule="auto" w:before="185"/>
        <w:ind w:right="609"/>
      </w:pPr>
      <w:r>
        <w:rPr>
          <w:color w:val="6E6158"/>
        </w:rPr>
        <w:t>Andrew also counsels financial services businesses on regulatory compliance and </w:t>
      </w:r>
      <w:r>
        <w:rPr>
          <w:color w:val="6E6158"/>
        </w:rPr>
        <w:t>transactional</w:t>
      </w:r>
      <w:r>
        <w:rPr>
          <w:color w:val="6E6158"/>
          <w:spacing w:val="40"/>
        </w:rPr>
        <w:t> </w:t>
      </w:r>
      <w:r>
        <w:rPr>
          <w:color w:val="6E6158"/>
        </w:rPr>
        <w:t>matters,</w:t>
      </w:r>
      <w:r>
        <w:rPr>
          <w:color w:val="6E6158"/>
          <w:spacing w:val="40"/>
        </w:rPr>
        <w:t> </w:t>
      </w:r>
      <w:r>
        <w:rPr>
          <w:color w:val="6E6158"/>
        </w:rPr>
        <w:t>including</w:t>
      </w:r>
      <w:r>
        <w:rPr>
          <w:color w:val="6E6158"/>
          <w:spacing w:val="40"/>
        </w:rPr>
        <w:t> </w:t>
      </w:r>
      <w:r>
        <w:rPr>
          <w:color w:val="6E6158"/>
        </w:rPr>
        <w:t>business</w:t>
      </w:r>
      <w:r>
        <w:rPr>
          <w:color w:val="6E6158"/>
          <w:spacing w:val="40"/>
        </w:rPr>
        <w:t> </w:t>
      </w:r>
      <w:r>
        <w:rPr>
          <w:color w:val="6E6158"/>
        </w:rPr>
        <w:t>formation,</w:t>
      </w:r>
      <w:r>
        <w:rPr>
          <w:color w:val="6E6158"/>
          <w:spacing w:val="40"/>
        </w:rPr>
        <w:t> </w:t>
      </w:r>
      <w:r>
        <w:rPr>
          <w:color w:val="6E6158"/>
        </w:rPr>
        <w:t>registration,</w:t>
      </w:r>
      <w:r>
        <w:rPr>
          <w:color w:val="6E6158"/>
          <w:spacing w:val="40"/>
        </w:rPr>
        <w:t> </w:t>
      </w:r>
      <w:r>
        <w:rPr>
          <w:color w:val="6E6158"/>
        </w:rPr>
        <w:t>disclosure</w:t>
      </w:r>
      <w:r>
        <w:rPr>
          <w:color w:val="6E6158"/>
          <w:spacing w:val="40"/>
        </w:rPr>
        <w:t> </w:t>
      </w:r>
      <w:r>
        <w:rPr>
          <w:color w:val="6E6158"/>
        </w:rPr>
        <w:t>requirements,</w:t>
      </w:r>
      <w:r>
        <w:rPr>
          <w:color w:val="6E6158"/>
          <w:spacing w:val="40"/>
        </w:rPr>
        <w:t> </w:t>
      </w:r>
      <w:r>
        <w:rPr>
          <w:color w:val="6E6158"/>
        </w:rPr>
        <w:t>broker-dealer</w:t>
      </w:r>
    </w:p>
    <w:p>
      <w:pPr>
        <w:pStyle w:val="BodyText"/>
        <w:spacing w:line="297" w:lineRule="auto" w:before="2"/>
        <w:ind w:right="609"/>
      </w:pPr>
      <w:r>
        <w:rPr>
          <w:color w:val="6E6158"/>
        </w:rPr>
        <w:t>regulation, commodity futures regulation, investment management, and private capital </w:t>
      </w:r>
      <w:r>
        <w:rPr>
          <w:color w:val="6E6158"/>
        </w:rPr>
        <w:t>matters.</w:t>
      </w:r>
      <w:r>
        <w:rPr>
          <w:color w:val="6E6158"/>
          <w:spacing w:val="40"/>
        </w:rPr>
        <w:t> </w:t>
      </w:r>
      <w:r>
        <w:rPr>
          <w:color w:val="6E6158"/>
        </w:rPr>
        <w:t>His experience allows him to advise clients on day-to-day compliance while also representing</w:t>
      </w:r>
      <w:r>
        <w:rPr>
          <w:color w:val="6E6158"/>
          <w:spacing w:val="80"/>
        </w:rPr>
        <w:t> </w:t>
      </w:r>
      <w:r>
        <w:rPr>
          <w:color w:val="6E6158"/>
        </w:rPr>
        <w:t>them</w:t>
      </w:r>
      <w:r>
        <w:rPr>
          <w:color w:val="6E6158"/>
          <w:spacing w:val="40"/>
        </w:rPr>
        <w:t> </w:t>
      </w:r>
      <w:r>
        <w:rPr>
          <w:color w:val="6E6158"/>
        </w:rPr>
        <w:t>when</w:t>
      </w:r>
      <w:r>
        <w:rPr>
          <w:color w:val="6E6158"/>
          <w:spacing w:val="40"/>
        </w:rPr>
        <w:t> </w:t>
      </w:r>
      <w:r>
        <w:rPr>
          <w:color w:val="6E6158"/>
        </w:rPr>
        <w:t>regulatory</w:t>
      </w:r>
      <w:r>
        <w:rPr>
          <w:color w:val="6E6158"/>
          <w:spacing w:val="40"/>
        </w:rPr>
        <w:t> </w:t>
      </w:r>
      <w:r>
        <w:rPr>
          <w:color w:val="6E6158"/>
        </w:rPr>
        <w:t>scrutiny,</w:t>
      </w:r>
      <w:r>
        <w:rPr>
          <w:color w:val="6E6158"/>
          <w:spacing w:val="40"/>
        </w:rPr>
        <w:t> </w:t>
      </w:r>
      <w:r>
        <w:rPr>
          <w:color w:val="6E6158"/>
        </w:rPr>
        <w:t>enforcement</w:t>
      </w:r>
      <w:r>
        <w:rPr>
          <w:color w:val="6E6158"/>
          <w:spacing w:val="40"/>
        </w:rPr>
        <w:t> </w:t>
      </w:r>
      <w:r>
        <w:rPr>
          <w:color w:val="6E6158"/>
        </w:rPr>
        <w:t>proceedings,</w:t>
      </w:r>
      <w:r>
        <w:rPr>
          <w:color w:val="6E6158"/>
          <w:spacing w:val="40"/>
        </w:rPr>
        <w:t> </w:t>
      </w:r>
      <w:r>
        <w:rPr>
          <w:color w:val="6E6158"/>
        </w:rPr>
        <w:t>or</w:t>
      </w:r>
      <w:r>
        <w:rPr>
          <w:color w:val="6E6158"/>
          <w:spacing w:val="40"/>
        </w:rPr>
        <w:t> </w:t>
      </w:r>
      <w:r>
        <w:rPr>
          <w:color w:val="6E6158"/>
        </w:rPr>
        <w:t>industry</w:t>
      </w:r>
      <w:r>
        <w:rPr>
          <w:color w:val="6E6158"/>
          <w:spacing w:val="40"/>
        </w:rPr>
        <w:t> </w:t>
      </w:r>
      <w:r>
        <w:rPr>
          <w:color w:val="6E6158"/>
        </w:rPr>
        <w:t>disputes</w:t>
      </w:r>
      <w:r>
        <w:rPr>
          <w:color w:val="6E6158"/>
          <w:spacing w:val="40"/>
        </w:rPr>
        <w:t> </w:t>
      </w:r>
      <w:r>
        <w:rPr>
          <w:color w:val="6E6158"/>
        </w:rPr>
        <w:t>arise.</w:t>
      </w:r>
    </w:p>
    <w:p>
      <w:pPr>
        <w:pStyle w:val="Heading1"/>
        <w:spacing w:before="157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</w:rPr>
        <w:t>J.D.,</w:t>
      </w:r>
      <w:r>
        <w:rPr>
          <w:color w:val="6E6158"/>
          <w:spacing w:val="12"/>
        </w:rPr>
        <w:t> </w:t>
      </w:r>
      <w:r>
        <w:rPr>
          <w:color w:val="6E6158"/>
        </w:rPr>
        <w:t>DePaul</w:t>
      </w:r>
      <w:r>
        <w:rPr>
          <w:color w:val="6E6158"/>
          <w:spacing w:val="12"/>
        </w:rPr>
        <w:t> </w:t>
      </w:r>
      <w:r>
        <w:rPr>
          <w:color w:val="6E6158"/>
        </w:rPr>
        <w:t>University</w:t>
      </w:r>
      <w:r>
        <w:rPr>
          <w:color w:val="6E6158"/>
          <w:spacing w:val="12"/>
        </w:rPr>
        <w:t> </w:t>
      </w:r>
      <w:r>
        <w:rPr>
          <w:color w:val="6E6158"/>
        </w:rPr>
        <w:t>College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before="174"/>
      </w:pPr>
      <w:r>
        <w:rPr>
          <w:color w:val="6E6158"/>
        </w:rPr>
        <w:t>B.A.,</w:t>
      </w:r>
      <w:r>
        <w:rPr>
          <w:color w:val="6E6158"/>
          <w:spacing w:val="12"/>
        </w:rPr>
        <w:t> </w:t>
      </w:r>
      <w:r>
        <w:rPr>
          <w:color w:val="6E6158"/>
        </w:rPr>
        <w:t>University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Illinois</w:t>
      </w:r>
      <w:r>
        <w:rPr>
          <w:color w:val="6E6158"/>
          <w:spacing w:val="13"/>
        </w:rPr>
        <w:t> </w:t>
      </w:r>
      <w:r>
        <w:rPr>
          <w:color w:val="6E6158"/>
        </w:rPr>
        <w:t>at</w:t>
      </w:r>
      <w:r>
        <w:rPr>
          <w:color w:val="6E6158"/>
          <w:spacing w:val="12"/>
        </w:rPr>
        <w:t> </w:t>
      </w:r>
      <w:r>
        <w:rPr>
          <w:color w:val="6E6158"/>
        </w:rPr>
        <w:t>Urbana-</w:t>
      </w:r>
      <w:r>
        <w:rPr>
          <w:color w:val="6E6158"/>
          <w:spacing w:val="-2"/>
        </w:rPr>
        <w:t>Champaign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080"/>
        </w:sectPr>
      </w:pPr>
    </w:p>
    <w:p>
      <w:pPr>
        <w:pStyle w:val="Heading1"/>
        <w:spacing w:before="83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MATTERS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7" w:lineRule="auto"/>
        <w:ind w:right="485"/>
      </w:pPr>
      <w:r>
        <w:rPr>
          <w:color w:val="6E6158"/>
        </w:rPr>
        <w:t>Obtained non-referral to enforcement for RIA client that received a 30-page deficiency letter. As</w:t>
      </w:r>
      <w:r>
        <w:rPr>
          <w:color w:val="6E6158"/>
          <w:spacing w:val="40"/>
        </w:rPr>
        <w:t> </w:t>
      </w:r>
      <w:r>
        <w:rPr>
          <w:color w:val="6E6158"/>
        </w:rPr>
        <w:t>part of the same representation that obtained a settlement with the client for 10 cents on the</w:t>
      </w:r>
      <w:r>
        <w:rPr>
          <w:color w:val="6E6158"/>
          <w:spacing w:val="40"/>
        </w:rPr>
        <w:t> </w:t>
      </w:r>
      <w:r>
        <w:rPr>
          <w:color w:val="6E6158"/>
        </w:rPr>
        <w:t>dollar, where the SEC felt that RIA was breached fiduciary duty on purchases of leveraged ETF.</w:t>
      </w:r>
    </w:p>
    <w:p>
      <w:pPr>
        <w:pStyle w:val="BodyText"/>
        <w:spacing w:line="292" w:lineRule="auto" w:before="118"/>
        <w:ind w:right="609"/>
      </w:pPr>
      <w:r>
        <w:rPr>
          <w:color w:val="6E6158"/>
        </w:rPr>
        <w:t>Represented SEC Registered Investment Advisor with over $1 billion in assets under </w:t>
      </w:r>
      <w:r>
        <w:rPr>
          <w:color w:val="6E6158"/>
        </w:rPr>
        <w:t>management</w:t>
      </w:r>
      <w:r>
        <w:rPr>
          <w:color w:val="6E6158"/>
          <w:spacing w:val="80"/>
          <w:w w:val="150"/>
        </w:rPr>
        <w:t> </w:t>
      </w:r>
      <w:r>
        <w:rPr>
          <w:color w:val="6E6158"/>
        </w:rPr>
        <w:t>in the first SEC examination on site over four days and in the ensuing 20 months, ensuring that a</w:t>
      </w:r>
      <w:r>
        <w:rPr>
          <w:color w:val="6E6158"/>
          <w:spacing w:val="40"/>
        </w:rPr>
        <w:t> </w:t>
      </w:r>
      <w:r>
        <w:rPr>
          <w:color w:val="6E6158"/>
        </w:rPr>
        <w:t>mere</w:t>
      </w:r>
      <w:r>
        <w:rPr>
          <w:color w:val="6E6158"/>
          <w:spacing w:val="30"/>
        </w:rPr>
        <w:t> </w:t>
      </w:r>
      <w:r>
        <w:rPr>
          <w:color w:val="6E6158"/>
        </w:rPr>
        <w:t>deficiency</w:t>
      </w:r>
      <w:r>
        <w:rPr>
          <w:color w:val="6E6158"/>
          <w:spacing w:val="30"/>
        </w:rPr>
        <w:t> </w:t>
      </w:r>
      <w:r>
        <w:rPr>
          <w:color w:val="6E6158"/>
        </w:rPr>
        <w:t>letter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no</w:t>
      </w:r>
      <w:r>
        <w:rPr>
          <w:color w:val="6E6158"/>
          <w:spacing w:val="30"/>
        </w:rPr>
        <w:t> </w:t>
      </w:r>
      <w:r>
        <w:rPr>
          <w:color w:val="6E6158"/>
        </w:rPr>
        <w:t>referral</w:t>
      </w:r>
      <w:r>
        <w:rPr>
          <w:color w:val="6E6158"/>
          <w:spacing w:val="30"/>
        </w:rPr>
        <w:t> </w:t>
      </w:r>
      <w:r>
        <w:rPr>
          <w:color w:val="6E6158"/>
        </w:rPr>
        <w:t>to</w:t>
      </w:r>
      <w:r>
        <w:rPr>
          <w:color w:val="6E6158"/>
          <w:spacing w:val="30"/>
        </w:rPr>
        <w:t> </w:t>
      </w:r>
      <w:r>
        <w:rPr>
          <w:color w:val="6E6158"/>
        </w:rPr>
        <w:t>the</w:t>
      </w:r>
      <w:r>
        <w:rPr>
          <w:color w:val="6E6158"/>
          <w:spacing w:val="30"/>
        </w:rPr>
        <w:t> </w:t>
      </w:r>
      <w:r>
        <w:rPr>
          <w:color w:val="6E6158"/>
        </w:rPr>
        <w:t>Department</w:t>
      </w:r>
      <w:r>
        <w:rPr>
          <w:color w:val="6E6158"/>
          <w:spacing w:val="30"/>
        </w:rPr>
        <w:t> </w:t>
      </w:r>
      <w:r>
        <w:rPr>
          <w:color w:val="6E6158"/>
        </w:rPr>
        <w:t>of</w:t>
      </w:r>
      <w:r>
        <w:rPr>
          <w:color w:val="6E6158"/>
          <w:spacing w:val="30"/>
        </w:rPr>
        <w:t> </w:t>
      </w:r>
      <w:r>
        <w:rPr>
          <w:color w:val="6E6158"/>
        </w:rPr>
        <w:t>Enforcement</w:t>
      </w:r>
      <w:r>
        <w:rPr>
          <w:color w:val="6E6158"/>
          <w:spacing w:val="30"/>
        </w:rPr>
        <w:t> </w:t>
      </w:r>
      <w:r>
        <w:rPr>
          <w:color w:val="6E6158"/>
        </w:rPr>
        <w:t>was</w:t>
      </w:r>
      <w:r>
        <w:rPr>
          <w:color w:val="6E6158"/>
          <w:spacing w:val="30"/>
        </w:rPr>
        <w:t> </w:t>
      </w:r>
      <w:r>
        <w:rPr>
          <w:color w:val="6E6158"/>
        </w:rPr>
        <w:t>entered.</w:t>
      </w:r>
    </w:p>
    <w:p>
      <w:pPr>
        <w:pStyle w:val="BodyText"/>
        <w:spacing w:line="292" w:lineRule="auto" w:before="132"/>
        <w:ind w:right="609"/>
      </w:pPr>
      <w:r>
        <w:rPr>
          <w:color w:val="6E6158"/>
        </w:rPr>
        <w:t>Represented a Registered Representative during an “on-the-record” interview over four </w:t>
      </w:r>
      <w:r>
        <w:rPr>
          <w:color w:val="6E6158"/>
        </w:rPr>
        <w:t>sessions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obtained</w:t>
      </w:r>
      <w:r>
        <w:rPr>
          <w:color w:val="6E6158"/>
          <w:spacing w:val="27"/>
        </w:rPr>
        <w:t> </w:t>
      </w:r>
      <w:r>
        <w:rPr>
          <w:color w:val="6E6158"/>
        </w:rPr>
        <w:t>a</w:t>
      </w:r>
      <w:r>
        <w:rPr>
          <w:color w:val="6E6158"/>
          <w:spacing w:val="27"/>
        </w:rPr>
        <w:t> </w:t>
      </w:r>
      <w:r>
        <w:rPr>
          <w:color w:val="6E6158"/>
        </w:rPr>
        <w:t>mere</w:t>
      </w:r>
      <w:r>
        <w:rPr>
          <w:color w:val="6E6158"/>
          <w:spacing w:val="27"/>
        </w:rPr>
        <w:t> </w:t>
      </w:r>
      <w:r>
        <w:rPr>
          <w:color w:val="6E6158"/>
        </w:rPr>
        <w:t>letter</w:t>
      </w:r>
      <w:r>
        <w:rPr>
          <w:color w:val="6E6158"/>
          <w:spacing w:val="27"/>
        </w:rPr>
        <w:t> </w:t>
      </w:r>
      <w:r>
        <w:rPr>
          <w:color w:val="6E6158"/>
        </w:rPr>
        <w:t>of</w:t>
      </w:r>
      <w:r>
        <w:rPr>
          <w:color w:val="6E6158"/>
          <w:spacing w:val="27"/>
        </w:rPr>
        <w:t> </w:t>
      </w:r>
      <w:r>
        <w:rPr>
          <w:color w:val="6E6158"/>
        </w:rPr>
        <w:t>caution</w:t>
      </w:r>
      <w:r>
        <w:rPr>
          <w:color w:val="6E6158"/>
          <w:spacing w:val="27"/>
        </w:rPr>
        <w:t> </w:t>
      </w:r>
      <w:r>
        <w:rPr>
          <w:color w:val="6E6158"/>
        </w:rPr>
        <w:t>despite</w:t>
      </w:r>
      <w:r>
        <w:rPr>
          <w:color w:val="6E6158"/>
          <w:spacing w:val="27"/>
        </w:rPr>
        <w:t> </w:t>
      </w:r>
      <w:r>
        <w:rPr>
          <w:color w:val="6E6158"/>
        </w:rPr>
        <w:t>an</w:t>
      </w:r>
      <w:r>
        <w:rPr>
          <w:color w:val="6E6158"/>
          <w:spacing w:val="27"/>
        </w:rPr>
        <w:t> </w:t>
      </w:r>
      <w:r>
        <w:rPr>
          <w:color w:val="6E6158"/>
        </w:rPr>
        <w:t>ongoing</w:t>
      </w:r>
      <w:r>
        <w:rPr>
          <w:color w:val="6E6158"/>
          <w:spacing w:val="27"/>
        </w:rPr>
        <w:t> </w:t>
      </w:r>
      <w:r>
        <w:rPr>
          <w:color w:val="6E6158"/>
        </w:rPr>
        <w:t>FINRA</w:t>
      </w:r>
      <w:r>
        <w:rPr>
          <w:color w:val="6E6158"/>
          <w:spacing w:val="27"/>
        </w:rPr>
        <w:t> </w:t>
      </w:r>
      <w:r>
        <w:rPr>
          <w:color w:val="6E6158"/>
        </w:rPr>
        <w:t>arbitration</w:t>
      </w:r>
      <w:r>
        <w:rPr>
          <w:color w:val="6E6158"/>
          <w:spacing w:val="27"/>
        </w:rPr>
        <w:t> </w:t>
      </w:r>
      <w:r>
        <w:rPr>
          <w:color w:val="6E6158"/>
        </w:rPr>
        <w:t>case</w:t>
      </w:r>
      <w:r>
        <w:rPr>
          <w:color w:val="6E6158"/>
          <w:spacing w:val="27"/>
        </w:rPr>
        <w:t> </w:t>
      </w:r>
      <w:r>
        <w:rPr>
          <w:color w:val="6E6158"/>
        </w:rPr>
        <w:t>against</w:t>
      </w:r>
      <w:r>
        <w:rPr>
          <w:color w:val="6E6158"/>
          <w:spacing w:val="27"/>
        </w:rPr>
        <w:t> </w:t>
      </w:r>
      <w:r>
        <w:rPr>
          <w:color w:val="6E6158"/>
        </w:rPr>
        <w:t>the</w:t>
      </w:r>
    </w:p>
    <w:p>
      <w:pPr>
        <w:pStyle w:val="BodyText"/>
        <w:spacing w:before="1"/>
      </w:pPr>
      <w:r>
        <w:rPr>
          <w:color w:val="6E6158"/>
          <w:spacing w:val="-2"/>
        </w:rPr>
        <w:t>client.</w:t>
      </w:r>
    </w:p>
    <w:p>
      <w:pPr>
        <w:pStyle w:val="BodyText"/>
        <w:spacing w:line="302" w:lineRule="auto" w:before="174"/>
        <w:ind w:right="780"/>
      </w:pPr>
      <w:r>
        <w:rPr>
          <w:color w:val="6E6158"/>
        </w:rPr>
        <w:t>Obtained summary judgment in a chancery case for a client sued for undue influence by an</w:t>
      </w:r>
      <w:r>
        <w:rPr>
          <w:color w:val="6E6158"/>
          <w:spacing w:val="40"/>
        </w:rPr>
        <w:t> </w:t>
      </w:r>
      <w:r>
        <w:rPr>
          <w:color w:val="6E6158"/>
        </w:rPr>
        <w:t>heir after a stockbroker was named in a former client’s trust.</w:t>
      </w:r>
    </w:p>
    <w:p>
      <w:pPr>
        <w:pStyle w:val="BodyText"/>
        <w:spacing w:line="292" w:lineRule="auto" w:before="113"/>
        <w:ind w:right="780"/>
      </w:pPr>
      <w:r>
        <w:rPr>
          <w:color w:val="6E6158"/>
        </w:rPr>
        <w:t>Settled two consolidated seven-figure arbitration claims before the National Futures </w:t>
      </w:r>
      <w:r>
        <w:rPr>
          <w:color w:val="6E6158"/>
        </w:rPr>
        <w:t>Association</w:t>
      </w:r>
      <w:r>
        <w:rPr>
          <w:color w:val="6E6158"/>
          <w:spacing w:val="80"/>
        </w:rPr>
        <w:t> </w:t>
      </w:r>
      <w:r>
        <w:rPr>
          <w:color w:val="6E6158"/>
        </w:rPr>
        <w:t>in mediation, where CTA client paid nothing and admitted no liability.</w:t>
      </w:r>
    </w:p>
    <w:p>
      <w:pPr>
        <w:pStyle w:val="BodyText"/>
        <w:spacing w:line="292" w:lineRule="auto" w:before="131"/>
        <w:ind w:right="646"/>
      </w:pPr>
      <w:r>
        <w:rPr>
          <w:color w:val="6E6158"/>
        </w:rPr>
        <w:t>Settled an arbitration claim against a securities broker-dealer without having to file an answer,</w:t>
      </w:r>
      <w:r>
        <w:rPr>
          <w:color w:val="6E6158"/>
          <w:spacing w:val="40"/>
        </w:rPr>
        <w:t> </w:t>
      </w:r>
      <w:r>
        <w:rPr>
          <w:color w:val="6E6158"/>
        </w:rPr>
        <w:t>pay fees to FINRA, or pay money to claim.</w:t>
      </w:r>
    </w:p>
    <w:p>
      <w:pPr>
        <w:pStyle w:val="BodyText"/>
        <w:spacing w:line="292" w:lineRule="auto" w:before="124"/>
        <w:ind w:right="609"/>
      </w:pPr>
      <w:r>
        <w:rPr>
          <w:color w:val="6E6158"/>
        </w:rPr>
        <w:t>Obtained removal of all four (4) internet advertisement postings against a stockbroker by a law</w:t>
      </w:r>
      <w:r>
        <w:rPr>
          <w:color w:val="6E6158"/>
          <w:spacing w:val="40"/>
        </w:rPr>
        <w:t> </w:t>
      </w:r>
      <w:r>
        <w:rPr>
          <w:color w:val="6E6158"/>
        </w:rPr>
        <w:t>firm using data securities filings and a FINRA BrokerCheck.</w:t>
      </w:r>
    </w:p>
    <w:p>
      <w:pPr>
        <w:pStyle w:val="BodyText"/>
        <w:spacing w:line="292" w:lineRule="auto" w:before="131"/>
        <w:ind w:right="609"/>
      </w:pPr>
      <w:r>
        <w:rPr>
          <w:color w:val="6E6158"/>
        </w:rPr>
        <w:t>Obtained settlement for a stockbroker client against his former firm in arbitration on a promissory</w:t>
      </w:r>
      <w:r>
        <w:rPr>
          <w:color w:val="6E6158"/>
          <w:spacing w:val="40"/>
        </w:rPr>
        <w:t> </w:t>
      </w:r>
      <w:r>
        <w:rPr>
          <w:color w:val="6E6158"/>
        </w:rPr>
        <w:t>note at five percent (5%) of the amount sought in arbitration.</w:t>
      </w:r>
    </w:p>
    <w:p>
      <w:pPr>
        <w:pStyle w:val="BodyText"/>
        <w:spacing w:line="292" w:lineRule="auto" w:before="123"/>
        <w:ind w:right="609"/>
      </w:pPr>
      <w:r>
        <w:rPr>
          <w:color w:val="6E6158"/>
        </w:rPr>
        <w:t>For stockbroker client, persuaded broker-dealer to remove three (3) out of four (4) reasons for</w:t>
      </w:r>
      <w:r>
        <w:rPr>
          <w:color w:val="6E6158"/>
          <w:spacing w:val="40"/>
        </w:rPr>
        <w:t> </w:t>
      </w:r>
      <w:r>
        <w:rPr>
          <w:color w:val="6E6158"/>
        </w:rPr>
        <w:t>termination on Form U5. As a result, the client was hired by a new broker-dealer.</w:t>
      </w:r>
    </w:p>
    <w:p>
      <w:pPr>
        <w:pStyle w:val="BodyText"/>
        <w:spacing w:before="12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</w:rPr>
        <w:t>Business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Litigation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before="254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color w:val="6E6158"/>
          <w:sz w:val="19"/>
        </w:rPr>
        <w:t>,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Litigation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–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Securities,</w:t>
      </w:r>
      <w:r>
        <w:rPr>
          <w:color w:val="6E6158"/>
          <w:spacing w:val="-2"/>
          <w:sz w:val="19"/>
        </w:rPr>
        <w:t> </w:t>
      </w:r>
      <w:r>
        <w:rPr>
          <w:color w:val="6E6158"/>
          <w:spacing w:val="-4"/>
          <w:sz w:val="19"/>
        </w:rPr>
        <w:t>2026</w:t>
      </w:r>
    </w:p>
    <w:p>
      <w:pPr>
        <w:pStyle w:val="BodyText"/>
        <w:spacing w:before="171"/>
      </w:pPr>
      <w:r>
        <w:rPr>
          <w:color w:val="6E6158"/>
        </w:rPr>
        <w:t>“Clients’</w:t>
      </w:r>
      <w:r>
        <w:rPr>
          <w:color w:val="6E6158"/>
          <w:spacing w:val="8"/>
        </w:rPr>
        <w:t> </w:t>
      </w:r>
      <w:r>
        <w:rPr>
          <w:color w:val="6E6158"/>
        </w:rPr>
        <w:t>Choice</w:t>
      </w:r>
      <w:r>
        <w:rPr>
          <w:color w:val="6E6158"/>
          <w:spacing w:val="9"/>
        </w:rPr>
        <w:t> </w:t>
      </w:r>
      <w:r>
        <w:rPr>
          <w:color w:val="6E6158"/>
        </w:rPr>
        <w:t>Award”</w:t>
      </w:r>
      <w:r>
        <w:rPr>
          <w:color w:val="6E6158"/>
          <w:spacing w:val="9"/>
        </w:rPr>
        <w:t> </w:t>
      </w:r>
      <w:r>
        <w:rPr>
          <w:color w:val="6E6158"/>
        </w:rPr>
        <w:t>for</w:t>
      </w:r>
      <w:r>
        <w:rPr>
          <w:color w:val="6E6158"/>
          <w:spacing w:val="9"/>
        </w:rPr>
        <w:t> </w:t>
      </w:r>
      <w:r>
        <w:rPr>
          <w:color w:val="6E6158"/>
        </w:rPr>
        <w:t>Financial</w:t>
      </w:r>
      <w:r>
        <w:rPr>
          <w:color w:val="6E6158"/>
          <w:spacing w:val="9"/>
        </w:rPr>
        <w:t> </w:t>
      </w:r>
      <w:r>
        <w:rPr>
          <w:color w:val="6E6158"/>
        </w:rPr>
        <w:t>Services,</w:t>
      </w:r>
      <w:r>
        <w:rPr>
          <w:color w:val="6E6158"/>
          <w:spacing w:val="9"/>
        </w:rPr>
        <w:t> </w:t>
      </w:r>
      <w:r>
        <w:rPr>
          <w:color w:val="6E6158"/>
        </w:rPr>
        <w:t>AVVO,</w:t>
      </w:r>
      <w:r>
        <w:rPr>
          <w:color w:val="6E6158"/>
          <w:spacing w:val="9"/>
        </w:rPr>
        <w:t> </w:t>
      </w:r>
      <w:r>
        <w:rPr>
          <w:color w:val="6E6158"/>
        </w:rPr>
        <w:t>2012,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2015</w:t>
      </w:r>
    </w:p>
    <w:p>
      <w:pPr>
        <w:pStyle w:val="BodyText"/>
        <w:ind w:left="0"/>
        <w:rPr>
          <w:sz w:val="24"/>
        </w:rPr>
      </w:pPr>
    </w:p>
    <w:p>
      <w:pPr>
        <w:pStyle w:val="BodyText"/>
        <w:spacing w:before="162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 w:before="1"/>
        <w:ind w:right="485"/>
      </w:pPr>
      <w:r>
        <w:rPr>
          <w:color w:val="6E6158"/>
        </w:rPr>
        <w:t>Author, “SEC Approved FINRA Rule Changes That Makes Expungement of Customer </w:t>
      </w:r>
      <w:r>
        <w:rPr>
          <w:color w:val="6E6158"/>
        </w:rPr>
        <w:t>Companies More Difficult,” Firm Publication, June 2, 2023</w:t>
      </w:r>
    </w:p>
    <w:p>
      <w:pPr>
        <w:pStyle w:val="BodyText"/>
        <w:spacing w:before="120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5649"/>
      </w:pPr>
      <w:r>
        <w:rPr>
          <w:color w:val="6E6158"/>
        </w:rPr>
        <w:t>Member, Chicago Bar Association Member, Illinois State Bar </w:t>
      </w:r>
      <w:r>
        <w:rPr>
          <w:color w:val="6E6158"/>
        </w:rPr>
        <w:t>Association</w:t>
      </w:r>
    </w:p>
    <w:p>
      <w:pPr>
        <w:pStyle w:val="BodyText"/>
        <w:spacing w:after="0" w:line="420" w:lineRule="auto"/>
        <w:sectPr>
          <w:pgSz w:w="12240" w:h="15840"/>
          <w:pgMar w:top="580" w:bottom="280" w:left="1440" w:right="1080"/>
        </w:sectPr>
      </w:pPr>
    </w:p>
    <w:p>
      <w:pPr>
        <w:pStyle w:val="BodyText"/>
        <w:spacing w:before="83"/>
      </w:pPr>
      <w:r>
        <w:rPr>
          <w:color w:val="6E6158"/>
        </w:rPr>
        <w:t>Counsel,</w:t>
      </w:r>
      <w:r>
        <w:rPr>
          <w:color w:val="6E6158"/>
          <w:spacing w:val="19"/>
        </w:rPr>
        <w:t> </w:t>
      </w:r>
      <w:r>
        <w:rPr>
          <w:color w:val="6E6158"/>
        </w:rPr>
        <w:t>Options</w:t>
      </w:r>
      <w:r>
        <w:rPr>
          <w:color w:val="6E6158"/>
          <w:spacing w:val="20"/>
        </w:rPr>
        <w:t> </w:t>
      </w:r>
      <w:r>
        <w:rPr>
          <w:color w:val="6E6158"/>
        </w:rPr>
        <w:t>Alliance,</w:t>
      </w:r>
      <w:r>
        <w:rPr>
          <w:color w:val="6E6158"/>
          <w:spacing w:val="19"/>
        </w:rPr>
        <w:t> </w:t>
      </w:r>
      <w:r>
        <w:rPr>
          <w:color w:val="6E6158"/>
        </w:rPr>
        <w:t>2014-</w:t>
      </w:r>
      <w:r>
        <w:rPr>
          <w:color w:val="6E6158"/>
          <w:spacing w:val="-4"/>
        </w:rPr>
        <w:t>2017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Illinois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1"/>
        </w:rPr>
        <w:t> </w:t>
      </w:r>
      <w:r>
        <w:rPr>
          <w:color w:val="6E6158"/>
        </w:rPr>
        <w:t>for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1"/>
        </w:rPr>
        <w:t> </w:t>
      </w:r>
      <w:r>
        <w:rPr>
          <w:color w:val="6E6158"/>
        </w:rPr>
        <w:t>Northern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Illinois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for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Eastern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Michigan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fennemore-forward/" TargetMode="External"/><Relationship Id="rId10" Type="http://schemas.openxmlformats.org/officeDocument/2006/relationships/hyperlink" Target="mailto:amay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Andrew S. May - Fennemore</dc:title>
  <dcterms:created xsi:type="dcterms:W3CDTF">2026-09-23T12:39:04Z</dcterms:created>
  <dcterms:modified xsi:type="dcterms:W3CDTF">2026-09-23T12:39:04Z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Creator">
    <vt:lpwstr>Mozilla/5.0 (X11; Linux x86_64) AppleWebKit/537.36 (KHTML, like Gecko) HeadlessChrome/153.0.0.0 Safari/537.36</vt:lpwstr>
  </property>
  <property fmtid="{D5CDD505-2E9C-101B-9397-08002B2CF9AE}" pid="5" name="LastSaved">
    <vt:filetime>2026-09-23T00:00:00Z</vt:filetime>
  </property>
  <property fmtid="{D5CDD505-2E9C-101B-9397-08002B2CF9AE}" pid="6" name="Producer">
    <vt:lpwstr>Skia/PDF m153</vt:lpwstr>
  </property>
</Properties>
</file>