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4185920"/>
                <wp:effectExtent l="0" t="0" r="0" b="507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185920"/>
                          <a:chExt cx="6071870" cy="4185920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dobeStock 137644849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2738675"/>
                            <a:ext cx="6071870" cy="1447165"/>
                          </a:xfrm>
                          <a:prstGeom prst="rect">
                            <a:avLst/>
                          </a:prstGeom>
                          <a:solidFill>
                            <a:srgbClr val="002E6D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0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348" w:lineRule="auto" w:before="1"/>
                                <w:ind w:left="1072" w:right="1064" w:firstLine="0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Appellate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matters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require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counsel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master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record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present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issues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most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likely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affect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outcome.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Fennemore’s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appellate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attorneys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provide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focused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strategy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persuasive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advocacy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federal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appellate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courts,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beginning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issue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preservation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trial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court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and continuing through appellate review.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73813" y="1585517"/>
                            <a:ext cx="4937125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auto" w:before="7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Our experienced appellate attorneys are a connected network of seasoned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lawyers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provide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support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every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stage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litigation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2"/>
                                </w:rPr>
                                <w:t>and are dedicated to client success.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775698" y="880542"/>
                            <a:ext cx="2533015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1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>Appellate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2"/>
                                </w:rPr>
                                <w:t>Litigation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329.6pt;mso-position-horizontal-relative:char;mso-position-vertical-relative:line" id="docshapegroup1" coordorigin="0,0" coordsize="9562,6592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9562;height:3890" type="#_x0000_t75" id="docshape3" alt="AdobeStock 1376448494" stroked="false">
                  <v:imagedata r:id="rId7" o:title=""/>
                </v:shape>
                <v:rect style="position:absolute;left:0;top:423;width:9562;height:3890" id="docshape4" filled="true" fillcolor="#262424" stroked="false">
                  <v:fill opacity="53713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4312;width:9562;height:2279" type="#_x0000_t202" id="docshape5" filled="true" fillcolor="#002e6d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0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348" w:lineRule="auto" w:before="1"/>
                          <w:ind w:left="1072" w:right="1064" w:firstLine="0"/>
                          <w:jc w:val="center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Appellate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matters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require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counsel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can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master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record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present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issues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most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likely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affect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outcome.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Fennemore’s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appellate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attorneys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provide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focused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strategy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persuasive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advocacy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state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federal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appellate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courts,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beginning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issue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preservation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trial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court </w:t>
                        </w:r>
                        <w:r>
                          <w:rPr>
                            <w:color w:val="FFFFFF"/>
                            <w:sz w:val="16"/>
                          </w:rPr>
                          <w:t>and continuing through appellate review.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03;top:2496;width:7775;height:825" type="#_x0000_t202" id="docshape6" filled="false" stroked="false">
                  <v:textbox inset="0,0,0,0">
                    <w:txbxContent>
                      <w:p>
                        <w:pPr>
                          <w:spacing w:line="242" w:lineRule="auto" w:before="7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Our experienced appellate attorneys are a connected network of seasoned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lawyers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who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provide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support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at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every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stage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of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litigation</w:t>
                        </w:r>
                        <w:r>
                          <w:rPr>
                            <w:color w:val="FFFFFF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22"/>
                          </w:rPr>
                          <w:t>and are dedicated to client success.</w:t>
                        </w:r>
                      </w:p>
                    </w:txbxContent>
                  </v:textbox>
                  <w10:wrap type="none"/>
                </v:shape>
                <v:shape style="position:absolute;left:2796;top:1386;width:3989;height:514" type="#_x0000_t202" id="docshape7" filled="false" stroked="false">
                  <v:textbox inset="0,0,0,0">
                    <w:txbxContent>
                      <w:p>
                        <w:pPr>
                          <w:spacing w:line="512" w:lineRule="exact" w:before="0"/>
                          <w:ind w:left="0" w:right="0" w:firstLine="0"/>
                          <w:jc w:val="left"/>
                          <w:rPr>
                            <w:b/>
                            <w:sz w:val="42"/>
                          </w:rPr>
                        </w:pPr>
                        <w:r>
                          <w:rPr>
                            <w:b/>
                            <w:color w:val="FFFFFF"/>
                            <w:sz w:val="42"/>
                          </w:rPr>
                          <w:t>Appellate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2"/>
                          </w:rPr>
                          <w:t>Litigation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</w:pPr>
      <w:r>
        <w:rPr>
          <w:color w:val="002E6B"/>
          <w:spacing w:val="-2"/>
        </w:rPr>
        <w:t>LEADERSHIP</w:t>
      </w:r>
    </w:p>
    <w:p>
      <w:pPr>
        <w:pStyle w:val="BodyText"/>
        <w:spacing w:before="52"/>
        <w:ind w:left="0" w:right="0"/>
        <w:rPr>
          <w:b/>
          <w:sz w:val="20"/>
        </w:rPr>
      </w:pPr>
    </w:p>
    <w:p>
      <w:pPr>
        <w:spacing w:line="218" w:lineRule="auto" w:before="1"/>
        <w:ind w:left="5856" w:right="277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2791396</wp:posOffset>
            </wp:positionH>
            <wp:positionV relativeFrom="paragraph">
              <wp:posOffset>-30451</wp:posOffset>
            </wp:positionV>
            <wp:extent cx="1395174" cy="139517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spacing w:val="-2"/>
            <w:sz w:val="16"/>
          </w:rPr>
          <w:t>BUSINESS</w:t>
        </w:r>
      </w:hyperlink>
      <w:r>
        <w:rPr>
          <w:spacing w:val="-2"/>
          <w:sz w:val="16"/>
        </w:rPr>
        <w:t> </w:t>
      </w:r>
      <w:hyperlink r:id="rId9">
        <w:r>
          <w:rPr>
            <w:spacing w:val="-2"/>
            <w:sz w:val="16"/>
          </w:rPr>
          <w:t>LITIGATION</w:t>
        </w:r>
      </w:hyperlink>
    </w:p>
    <w:p>
      <w:pPr>
        <w:pStyle w:val="BodyText"/>
        <w:spacing w:before="34"/>
        <w:ind w:left="0" w:right="0"/>
        <w:rPr>
          <w:sz w:val="16"/>
        </w:rPr>
      </w:pPr>
    </w:p>
    <w:p>
      <w:pPr>
        <w:spacing w:line="188" w:lineRule="exact" w:before="0"/>
        <w:ind w:left="5856" w:right="0" w:firstLine="0"/>
        <w:jc w:val="left"/>
        <w:rPr>
          <w:sz w:val="16"/>
        </w:rPr>
      </w:pPr>
      <w:hyperlink r:id="rId10">
        <w:r>
          <w:rPr>
            <w:spacing w:val="-2"/>
            <w:sz w:val="16"/>
          </w:rPr>
          <w:t>NATURAL</w:t>
        </w:r>
      </w:hyperlink>
    </w:p>
    <w:p>
      <w:pPr>
        <w:spacing w:line="188" w:lineRule="exact" w:before="0"/>
        <w:ind w:left="5856" w:right="0" w:firstLine="0"/>
        <w:jc w:val="left"/>
        <w:rPr>
          <w:sz w:val="16"/>
        </w:rPr>
      </w:pPr>
      <w:hyperlink r:id="rId10">
        <w:r>
          <w:rPr>
            <w:spacing w:val="-2"/>
            <w:sz w:val="16"/>
          </w:rPr>
          <w:t>RESOURCES</w:t>
        </w:r>
      </w:hyperlink>
    </w:p>
    <w:p>
      <w:pPr>
        <w:pStyle w:val="BodyText"/>
        <w:spacing w:before="23"/>
        <w:ind w:left="0" w:right="0"/>
        <w:rPr>
          <w:sz w:val="16"/>
        </w:rPr>
      </w:pPr>
    </w:p>
    <w:p>
      <w:pPr>
        <w:spacing w:line="191" w:lineRule="exact" w:before="0"/>
        <w:ind w:left="5856" w:right="0" w:firstLine="0"/>
        <w:jc w:val="left"/>
        <w:rPr>
          <w:b/>
          <w:sz w:val="16"/>
        </w:rPr>
      </w:pPr>
      <w:hyperlink r:id="rId11">
        <w:r>
          <w:rPr>
            <w:b/>
            <w:sz w:val="16"/>
          </w:rPr>
          <w:t>Timothy</w:t>
        </w:r>
        <w:r>
          <w:rPr>
            <w:b/>
            <w:spacing w:val="3"/>
            <w:sz w:val="16"/>
          </w:rPr>
          <w:t> </w:t>
        </w:r>
        <w:r>
          <w:rPr>
            <w:b/>
            <w:sz w:val="16"/>
          </w:rPr>
          <w:t>J.</w:t>
        </w:r>
        <w:r>
          <w:rPr>
            <w:b/>
            <w:spacing w:val="4"/>
            <w:sz w:val="16"/>
          </w:rPr>
          <w:t> </w:t>
        </w:r>
        <w:r>
          <w:rPr>
            <w:b/>
            <w:spacing w:val="-4"/>
            <w:sz w:val="16"/>
          </w:rPr>
          <w:t>Berg</w:t>
        </w:r>
      </w:hyperlink>
    </w:p>
    <w:p>
      <w:pPr>
        <w:spacing w:line="142" w:lineRule="exact" w:before="0"/>
        <w:ind w:left="5856" w:right="0" w:firstLine="0"/>
        <w:jc w:val="left"/>
        <w:rPr>
          <w:sz w:val="12"/>
        </w:rPr>
      </w:pPr>
      <w:r>
        <w:rPr>
          <w:color w:val="6E6158"/>
          <w:spacing w:val="-2"/>
          <w:sz w:val="12"/>
        </w:rPr>
        <w:t>Director</w:t>
      </w:r>
    </w:p>
    <w:p>
      <w:pPr>
        <w:spacing w:before="72"/>
        <w:ind w:left="5856" w:right="0" w:firstLine="0"/>
        <w:jc w:val="left"/>
        <w:rPr>
          <w:b/>
          <w:sz w:val="12"/>
        </w:rPr>
      </w:pPr>
      <w:hyperlink r:id="rId12">
        <w:r>
          <w:rPr>
            <w:b/>
            <w:spacing w:val="-2"/>
            <w:sz w:val="12"/>
          </w:rPr>
          <w:t>Phoenix</w:t>
        </w:r>
      </w:hyperlink>
    </w:p>
    <w:p>
      <w:pPr>
        <w:spacing w:before="16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602.916.5421</w:t>
      </w:r>
    </w:p>
    <w:p>
      <w:pPr>
        <w:spacing w:before="7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602.916.5621</w:t>
      </w:r>
    </w:p>
    <w:p>
      <w:pPr>
        <w:spacing w:line="266" w:lineRule="auto" w:before="16"/>
        <w:ind w:left="5856" w:right="2770" w:firstLine="0"/>
        <w:jc w:val="left"/>
        <w:rPr>
          <w:sz w:val="12"/>
        </w:rPr>
      </w:pPr>
      <w:hyperlink r:id="rId13">
        <w:r>
          <w:rPr>
            <w:color w:val="002E6B"/>
            <w:spacing w:val="-2"/>
            <w:sz w:val="12"/>
            <w:u w:val="single" w:color="002E6B"/>
          </w:rPr>
          <w:t>tberg@fennemorelaw.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3">
        <w:r>
          <w:rPr>
            <w:color w:val="002E6B"/>
            <w:spacing w:val="-4"/>
            <w:sz w:val="12"/>
            <w:u w:val="single" w:color="002E6B"/>
          </w:rPr>
          <w:t>com</w:t>
        </w:r>
      </w:hyperlink>
    </w:p>
    <w:p>
      <w:pPr>
        <w:pStyle w:val="BodyText"/>
        <w:spacing w:before="259"/>
        <w:ind w:left="0" w:right="0"/>
        <w:rPr>
          <w:sz w:val="24"/>
        </w:rPr>
      </w:pPr>
    </w:p>
    <w:p>
      <w:pPr>
        <w:pStyle w:val="Heading1"/>
        <w:spacing w:before="0"/>
      </w:pPr>
      <w:r>
        <w:rPr>
          <w:color w:val="FF8100"/>
        </w:rPr>
        <w:t>WHO</w:t>
      </w:r>
      <w:r>
        <w:rPr>
          <w:color w:val="FF8100"/>
          <w:spacing w:val="5"/>
        </w:rPr>
        <w:t> </w:t>
      </w:r>
      <w:r>
        <w:rPr>
          <w:color w:val="FF8100"/>
        </w:rPr>
        <w:t>WE</w:t>
      </w:r>
      <w:r>
        <w:rPr>
          <w:color w:val="FF8100"/>
          <w:spacing w:val="6"/>
        </w:rPr>
        <w:t> </w:t>
      </w:r>
      <w:r>
        <w:rPr>
          <w:color w:val="FF8100"/>
          <w:spacing w:val="-5"/>
        </w:rPr>
        <w:t>ARE</w:t>
      </w:r>
    </w:p>
    <w:p>
      <w:pPr>
        <w:pStyle w:val="BodyText"/>
        <w:spacing w:line="295" w:lineRule="auto" w:before="147"/>
      </w:pPr>
      <w:r>
        <w:rPr>
          <w:color w:val="6E6158"/>
        </w:rPr>
        <w:t>Fennemore’s appellate attorneys understand that an appeal is not a second trial. It is a distinct</w:t>
      </w:r>
      <w:r>
        <w:rPr>
          <w:color w:val="6E6158"/>
          <w:spacing w:val="40"/>
        </w:rPr>
        <w:t> </w:t>
      </w:r>
      <w:r>
        <w:rPr>
          <w:color w:val="6E6158"/>
        </w:rPr>
        <w:t>stage of litigation that requires careful analysis of the record and a focused appellate strategy.</w:t>
      </w:r>
      <w:r>
        <w:rPr>
          <w:color w:val="6E6158"/>
          <w:spacing w:val="40"/>
        </w:rPr>
        <w:t> </w:t>
      </w:r>
      <w:r>
        <w:rPr>
          <w:color w:val="6E6158"/>
        </w:rPr>
        <w:t>Fennemore’s appellate attorneys represent clients in state and federal appellate courts across</w:t>
      </w:r>
      <w:r>
        <w:rPr>
          <w:color w:val="6E6158"/>
          <w:spacing w:val="40"/>
        </w:rPr>
        <w:t> </w:t>
      </w:r>
      <w:r>
        <w:rPr>
          <w:color w:val="6E6158"/>
        </w:rPr>
        <w:t>the country, including in matters before the U.S. Supreme Court. We bring focused analysis,</w:t>
      </w:r>
      <w:r>
        <w:rPr>
          <w:color w:val="6E6158"/>
          <w:spacing w:val="40"/>
        </w:rPr>
        <w:t> </w:t>
      </w:r>
      <w:r>
        <w:rPr>
          <w:color w:val="6E6158"/>
        </w:rPr>
        <w:t>persuasive</w:t>
      </w:r>
      <w:r>
        <w:rPr>
          <w:color w:val="6E6158"/>
          <w:spacing w:val="19"/>
        </w:rPr>
        <w:t> </w:t>
      </w:r>
      <w:r>
        <w:rPr>
          <w:color w:val="6E6158"/>
        </w:rPr>
        <w:t>written</w:t>
      </w:r>
      <w:r>
        <w:rPr>
          <w:color w:val="6E6158"/>
          <w:spacing w:val="19"/>
        </w:rPr>
        <w:t> </w:t>
      </w:r>
      <w:r>
        <w:rPr>
          <w:color w:val="6E6158"/>
        </w:rPr>
        <w:t>advocacy,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a</w:t>
      </w:r>
      <w:r>
        <w:rPr>
          <w:color w:val="6E6158"/>
          <w:spacing w:val="19"/>
        </w:rPr>
        <w:t> </w:t>
      </w:r>
      <w:r>
        <w:rPr>
          <w:color w:val="6E6158"/>
        </w:rPr>
        <w:t>detailed</w:t>
      </w:r>
      <w:r>
        <w:rPr>
          <w:color w:val="6E6158"/>
          <w:spacing w:val="19"/>
        </w:rPr>
        <w:t> </w:t>
      </w:r>
      <w:r>
        <w:rPr>
          <w:color w:val="6E6158"/>
        </w:rPr>
        <w:t>understanding</w:t>
      </w:r>
      <w:r>
        <w:rPr>
          <w:color w:val="6E6158"/>
          <w:spacing w:val="19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the</w:t>
      </w:r>
      <w:r>
        <w:rPr>
          <w:color w:val="6E6158"/>
          <w:spacing w:val="19"/>
        </w:rPr>
        <w:t> </w:t>
      </w:r>
      <w:r>
        <w:rPr>
          <w:color w:val="6E6158"/>
        </w:rPr>
        <w:t>record</w:t>
      </w:r>
      <w:r>
        <w:rPr>
          <w:color w:val="6E6158"/>
          <w:spacing w:val="19"/>
        </w:rPr>
        <w:t> </w:t>
      </w:r>
      <w:r>
        <w:rPr>
          <w:color w:val="6E6158"/>
        </w:rPr>
        <w:t>to</w:t>
      </w:r>
      <w:r>
        <w:rPr>
          <w:color w:val="6E6158"/>
          <w:spacing w:val="19"/>
        </w:rPr>
        <w:t> </w:t>
      </w:r>
      <w:r>
        <w:rPr>
          <w:color w:val="6E6158"/>
        </w:rPr>
        <w:t>appeals</w:t>
      </w:r>
      <w:r>
        <w:rPr>
          <w:color w:val="6E6158"/>
          <w:spacing w:val="19"/>
        </w:rPr>
        <w:t> </w:t>
      </w:r>
      <w:r>
        <w:rPr>
          <w:color w:val="6E6158"/>
        </w:rPr>
        <w:t>at</w:t>
      </w:r>
      <w:r>
        <w:rPr>
          <w:color w:val="6E6158"/>
          <w:spacing w:val="19"/>
        </w:rPr>
        <w:t> </w:t>
      </w:r>
      <w:r>
        <w:rPr>
          <w:color w:val="6E6158"/>
        </w:rPr>
        <w:t>every</w:t>
      </w:r>
    </w:p>
    <w:p>
      <w:pPr>
        <w:pStyle w:val="BodyText"/>
        <w:spacing w:line="292" w:lineRule="auto" w:before="8"/>
      </w:pPr>
      <w:r>
        <w:rPr>
          <w:color w:val="6E6158"/>
        </w:rPr>
        <w:t>stage. Our attorneys also collaborate with trial counsel to preserve issues, strengthen the record,</w:t>
      </w:r>
      <w:r>
        <w:rPr>
          <w:color w:val="6E6158"/>
          <w:spacing w:val="40"/>
        </w:rPr>
        <w:t> </w:t>
      </w:r>
      <w:r>
        <w:rPr>
          <w:color w:val="6E6158"/>
        </w:rPr>
        <w:t>and prepare cases for appellate review.</w:t>
      </w:r>
    </w:p>
    <w:p>
      <w:pPr>
        <w:pStyle w:val="BodyText"/>
        <w:spacing w:line="295" w:lineRule="auto" w:before="196"/>
      </w:pPr>
      <w:r>
        <w:rPr>
          <w:color w:val="6E6158"/>
        </w:rPr>
        <w:t>Members of our team have served as law clerks to state and federal trial and appellate judges,</w:t>
      </w:r>
      <w:r>
        <w:rPr>
          <w:color w:val="6E6158"/>
          <w:spacing w:val="40"/>
        </w:rPr>
        <w:t> </w:t>
      </w:r>
      <w:r>
        <w:rPr>
          <w:color w:val="6E6158"/>
        </w:rPr>
        <w:t>providing valuable insight into judicial decision-making. Our appellate attorneys are regularly</w:t>
      </w:r>
      <w:r>
        <w:rPr>
          <w:color w:val="6E6158"/>
          <w:spacing w:val="40"/>
        </w:rPr>
        <w:t> </w:t>
      </w:r>
      <w:r>
        <w:rPr>
          <w:color w:val="6E6158"/>
        </w:rPr>
        <w:t>recognized by </w:t>
      </w:r>
      <w:hyperlink r:id="rId14">
        <w:r>
          <w:rPr>
            <w:color w:val="F5821F"/>
          </w:rPr>
          <w:t>Chambers USA, Best Lawyers, and Super Lawyers</w:t>
        </w:r>
      </w:hyperlink>
      <w:r>
        <w:rPr>
          <w:color w:val="6E6158"/>
        </w:rPr>
        <w:t>, reflecting our commitment to</w:t>
      </w:r>
      <w:r>
        <w:rPr>
          <w:color w:val="6E6158"/>
          <w:spacing w:val="40"/>
        </w:rPr>
        <w:t> </w:t>
      </w:r>
      <w:r>
        <w:rPr>
          <w:color w:val="6E6158"/>
        </w:rPr>
        <w:t>legal excellence and client success.</w:t>
      </w:r>
    </w:p>
    <w:p>
      <w:pPr>
        <w:pStyle w:val="Heading1"/>
      </w:pPr>
      <w:r>
        <w:rPr>
          <w:color w:val="FF8100"/>
        </w:rPr>
        <w:t>DIRECT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APPEALS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080" w:right="1080"/>
        </w:sectPr>
      </w:pPr>
    </w:p>
    <w:p>
      <w:pPr>
        <w:pStyle w:val="BodyText"/>
        <w:spacing w:line="295" w:lineRule="auto" w:before="83"/>
        <w:ind w:right="563"/>
      </w:pPr>
      <w:r>
        <w:rPr>
          <w:color w:val="6E6158"/>
        </w:rPr>
        <w:t>Fennemore’s appellate attorneys prepare cases for appellate review by identifying the strongest</w:t>
      </w:r>
      <w:r>
        <w:rPr>
          <w:color w:val="6E6158"/>
          <w:spacing w:val="40"/>
        </w:rPr>
        <w:t> </w:t>
      </w:r>
      <w:r>
        <w:rPr>
          <w:color w:val="6E6158"/>
        </w:rPr>
        <w:t>issues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presenting</w:t>
      </w:r>
      <w:r>
        <w:rPr>
          <w:color w:val="6E6158"/>
          <w:spacing w:val="31"/>
        </w:rPr>
        <w:t> </w:t>
      </w:r>
      <w:r>
        <w:rPr>
          <w:color w:val="6E6158"/>
        </w:rPr>
        <w:t>complex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or</w:t>
      </w:r>
      <w:r>
        <w:rPr>
          <w:color w:val="6E6158"/>
          <w:spacing w:val="31"/>
        </w:rPr>
        <w:t> </w:t>
      </w:r>
      <w:r>
        <w:rPr>
          <w:color w:val="6E6158"/>
        </w:rPr>
        <w:t>factual</w:t>
      </w:r>
      <w:r>
        <w:rPr>
          <w:color w:val="6E6158"/>
          <w:spacing w:val="31"/>
        </w:rPr>
        <w:t> </w:t>
      </w:r>
      <w:r>
        <w:rPr>
          <w:color w:val="6E6158"/>
        </w:rPr>
        <w:t>questions</w:t>
      </w:r>
      <w:r>
        <w:rPr>
          <w:color w:val="6E6158"/>
          <w:spacing w:val="31"/>
        </w:rPr>
        <w:t> </w:t>
      </w:r>
      <w:r>
        <w:rPr>
          <w:color w:val="6E6158"/>
        </w:rPr>
        <w:t>clearly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persuasively.</w:t>
      </w:r>
      <w:r>
        <w:rPr>
          <w:color w:val="6E6158"/>
          <w:spacing w:val="31"/>
        </w:rPr>
        <w:t> </w:t>
      </w:r>
      <w:r>
        <w:rPr>
          <w:color w:val="6E6158"/>
        </w:rPr>
        <w:t>We</w:t>
      </w:r>
      <w:r>
        <w:rPr>
          <w:color w:val="6E6158"/>
          <w:spacing w:val="31"/>
        </w:rPr>
        <w:t> </w:t>
      </w:r>
      <w:r>
        <w:rPr>
          <w:color w:val="6E6158"/>
        </w:rPr>
        <w:t>work closely with trial counsel throughout the appellate process. This collaboration allows us to</w:t>
      </w:r>
      <w:r>
        <w:rPr>
          <w:color w:val="6E6158"/>
          <w:spacing w:val="40"/>
        </w:rPr>
        <w:t> </w:t>
      </w:r>
      <w:r>
        <w:rPr>
          <w:color w:val="6E6158"/>
        </w:rPr>
        <w:t>understand the factual record, procedural history, and strategic considerations without</w:t>
      </w:r>
      <w:r>
        <w:rPr>
          <w:color w:val="6E6158"/>
          <w:spacing w:val="80"/>
        </w:rPr>
        <w:t> </w:t>
      </w:r>
      <w:r>
        <w:rPr>
          <w:color w:val="6E6158"/>
        </w:rPr>
        <w:t>duplicating</w:t>
      </w:r>
      <w:r>
        <w:rPr>
          <w:color w:val="6E6158"/>
          <w:spacing w:val="35"/>
        </w:rPr>
        <w:t> </w:t>
      </w:r>
      <w:r>
        <w:rPr>
          <w:color w:val="6E6158"/>
        </w:rPr>
        <w:t>work</w:t>
      </w:r>
      <w:r>
        <w:rPr>
          <w:color w:val="6E6158"/>
          <w:spacing w:val="35"/>
        </w:rPr>
        <w:t> </w:t>
      </w:r>
      <w:r>
        <w:rPr>
          <w:color w:val="6E6158"/>
        </w:rPr>
        <w:t>or</w:t>
      </w:r>
      <w:r>
        <w:rPr>
          <w:color w:val="6E6158"/>
          <w:spacing w:val="35"/>
        </w:rPr>
        <w:t> </w:t>
      </w:r>
      <w:r>
        <w:rPr>
          <w:color w:val="6E6158"/>
        </w:rPr>
        <w:t>creating</w:t>
      </w:r>
      <w:r>
        <w:rPr>
          <w:color w:val="6E6158"/>
          <w:spacing w:val="35"/>
        </w:rPr>
        <w:t> </w:t>
      </w:r>
      <w:r>
        <w:rPr>
          <w:color w:val="6E6158"/>
        </w:rPr>
        <w:t>unnecessary</w:t>
      </w:r>
      <w:r>
        <w:rPr>
          <w:color w:val="6E6158"/>
          <w:spacing w:val="35"/>
        </w:rPr>
        <w:t> </w:t>
      </w:r>
      <w:r>
        <w:rPr>
          <w:color w:val="6E6158"/>
        </w:rPr>
        <w:t>expense.</w:t>
      </w:r>
      <w:r>
        <w:rPr>
          <w:color w:val="6E6158"/>
          <w:spacing w:val="35"/>
        </w:rPr>
        <w:t> </w:t>
      </w:r>
      <w:r>
        <w:rPr>
          <w:color w:val="6E6158"/>
        </w:rPr>
        <w:t>By</w:t>
      </w:r>
      <w:r>
        <w:rPr>
          <w:color w:val="6E6158"/>
          <w:spacing w:val="35"/>
        </w:rPr>
        <w:t> </w:t>
      </w:r>
      <w:r>
        <w:rPr>
          <w:color w:val="6E6158"/>
        </w:rPr>
        <w:t>combining</w:t>
      </w:r>
      <w:r>
        <w:rPr>
          <w:color w:val="6E6158"/>
          <w:spacing w:val="35"/>
        </w:rPr>
        <w:t> </w:t>
      </w:r>
      <w:r>
        <w:rPr>
          <w:color w:val="6E6158"/>
        </w:rPr>
        <w:t>trial</w:t>
      </w:r>
      <w:r>
        <w:rPr>
          <w:color w:val="6E6158"/>
          <w:spacing w:val="35"/>
        </w:rPr>
        <w:t> </w:t>
      </w:r>
      <w:r>
        <w:rPr>
          <w:color w:val="6E6158"/>
        </w:rPr>
        <w:t>counsel’s</w:t>
      </w:r>
      <w:r>
        <w:rPr>
          <w:color w:val="6E6158"/>
          <w:spacing w:val="35"/>
        </w:rPr>
        <w:t> </w:t>
      </w:r>
      <w:r>
        <w:rPr>
          <w:color w:val="6E6158"/>
        </w:rPr>
        <w:t>command</w:t>
      </w:r>
      <w:r>
        <w:rPr>
          <w:color w:val="6E6158"/>
          <w:spacing w:val="35"/>
        </w:rPr>
        <w:t> </w:t>
      </w:r>
      <w:r>
        <w:rPr>
          <w:color w:val="6E6158"/>
        </w:rPr>
        <w:t>of the case with our appellate experience, we develop focused arguments designed to </w:t>
      </w:r>
      <w:r>
        <w:rPr>
          <w:color w:val="6E6158"/>
        </w:rPr>
        <w:t>strengthen</w:t>
      </w:r>
      <w:r>
        <w:rPr>
          <w:color w:val="6E6158"/>
          <w:spacing w:val="40"/>
        </w:rPr>
        <w:t> </w:t>
      </w:r>
      <w:r>
        <w:rPr>
          <w:color w:val="6E6158"/>
        </w:rPr>
        <w:t>the client’s position on appeal.</w:t>
      </w:r>
    </w:p>
    <w:p>
      <w:pPr>
        <w:pStyle w:val="Heading1"/>
        <w:spacing w:before="166"/>
      </w:pPr>
      <w:r>
        <w:rPr>
          <w:color w:val="FF8100"/>
        </w:rPr>
        <w:t>AMICUS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BRIEFS</w:t>
      </w:r>
    </w:p>
    <w:p>
      <w:pPr>
        <w:pStyle w:val="BodyText"/>
        <w:spacing w:line="295" w:lineRule="auto"/>
        <w:ind w:right="531"/>
      </w:pPr>
      <w:r>
        <w:rPr>
          <w:color w:val="6E6158"/>
        </w:rPr>
        <w:t>Fennemore’s appellate attorneys prepare focused amicus briefs that present the client’s</w:t>
      </w:r>
      <w:r>
        <w:rPr>
          <w:color w:val="6E6158"/>
          <w:spacing w:val="40"/>
        </w:rPr>
        <w:t> </w:t>
      </w:r>
      <w:r>
        <w:rPr>
          <w:color w:val="6E6158"/>
        </w:rPr>
        <w:t>perspective clearly and comply with demanding appellate deadlines. We work with clients to</w:t>
      </w:r>
      <w:r>
        <w:rPr>
          <w:color w:val="6E6158"/>
          <w:spacing w:val="40"/>
        </w:rPr>
        <w:t> </w:t>
      </w:r>
      <w:r>
        <w:rPr>
          <w:color w:val="6E6158"/>
        </w:rPr>
        <w:t>identify the issues most relevant to the court and develop arguments that add meaningful value</w:t>
      </w:r>
      <w:r>
        <w:rPr>
          <w:color w:val="6E6158"/>
          <w:spacing w:val="80"/>
        </w:rPr>
        <w:t> </w:t>
      </w:r>
      <w:r>
        <w:rPr>
          <w:color w:val="6E6158"/>
        </w:rPr>
        <w:t>to</w:t>
      </w:r>
      <w:r>
        <w:rPr>
          <w:color w:val="6E6158"/>
          <w:spacing w:val="30"/>
        </w:rPr>
        <w:t> </w:t>
      </w:r>
      <w:r>
        <w:rPr>
          <w:color w:val="6E6158"/>
        </w:rPr>
        <w:t>their</w:t>
      </w:r>
      <w:r>
        <w:rPr>
          <w:color w:val="6E6158"/>
          <w:spacing w:val="30"/>
        </w:rPr>
        <w:t> </w:t>
      </w:r>
      <w:r>
        <w:rPr>
          <w:color w:val="6E6158"/>
        </w:rPr>
        <w:t>consideration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case.</w:t>
      </w:r>
      <w:r>
        <w:rPr>
          <w:color w:val="6E6158"/>
          <w:spacing w:val="30"/>
        </w:rPr>
        <w:t> </w:t>
      </w:r>
      <w:r>
        <w:rPr>
          <w:color w:val="6E6158"/>
        </w:rPr>
        <w:t>By</w:t>
      </w:r>
      <w:r>
        <w:rPr>
          <w:color w:val="6E6158"/>
          <w:spacing w:val="30"/>
        </w:rPr>
        <w:t> </w:t>
      </w:r>
      <w:r>
        <w:rPr>
          <w:color w:val="6E6158"/>
        </w:rPr>
        <w:t>bringing</w:t>
      </w:r>
      <w:r>
        <w:rPr>
          <w:color w:val="6E6158"/>
          <w:spacing w:val="30"/>
        </w:rPr>
        <w:t> </w:t>
      </w:r>
      <w:r>
        <w:rPr>
          <w:color w:val="6E6158"/>
        </w:rPr>
        <w:t>varied</w:t>
      </w:r>
      <w:r>
        <w:rPr>
          <w:color w:val="6E6158"/>
          <w:spacing w:val="30"/>
        </w:rPr>
        <w:t> </w:t>
      </w:r>
      <w:r>
        <w:rPr>
          <w:color w:val="6E6158"/>
        </w:rPr>
        <w:t>viewpoints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real-world</w:t>
      </w:r>
      <w:r>
        <w:rPr>
          <w:color w:val="6E6158"/>
          <w:spacing w:val="30"/>
        </w:rPr>
        <w:t> </w:t>
      </w:r>
      <w:r>
        <w:rPr>
          <w:color w:val="6E6158"/>
        </w:rPr>
        <w:t>implications</w:t>
      </w:r>
      <w:r>
        <w:rPr>
          <w:color w:val="6E6158"/>
          <w:spacing w:val="30"/>
        </w:rPr>
        <w:t> </w:t>
      </w:r>
      <w:r>
        <w:rPr>
          <w:color w:val="6E6158"/>
        </w:rPr>
        <w:t>to the</w:t>
      </w:r>
      <w:r>
        <w:rPr>
          <w:color w:val="6E6158"/>
          <w:spacing w:val="24"/>
        </w:rPr>
        <w:t> </w:t>
      </w:r>
      <w:r>
        <w:rPr>
          <w:color w:val="6E6158"/>
        </w:rPr>
        <w:t>forefront,</w:t>
      </w:r>
      <w:r>
        <w:rPr>
          <w:color w:val="6E6158"/>
          <w:spacing w:val="24"/>
        </w:rPr>
        <w:t> </w:t>
      </w:r>
      <w:r>
        <w:rPr>
          <w:color w:val="6E6158"/>
        </w:rPr>
        <w:t>an</w:t>
      </w:r>
      <w:r>
        <w:rPr>
          <w:color w:val="6E6158"/>
          <w:spacing w:val="24"/>
        </w:rPr>
        <w:t> </w:t>
      </w:r>
      <w:r>
        <w:rPr>
          <w:color w:val="6E6158"/>
        </w:rPr>
        <w:t>amicus</w:t>
      </w:r>
      <w:r>
        <w:rPr>
          <w:color w:val="6E6158"/>
          <w:spacing w:val="24"/>
        </w:rPr>
        <w:t> </w:t>
      </w:r>
      <w:r>
        <w:rPr>
          <w:color w:val="6E6158"/>
        </w:rPr>
        <w:t>brief</w:t>
      </w:r>
      <w:r>
        <w:rPr>
          <w:color w:val="6E6158"/>
          <w:spacing w:val="24"/>
        </w:rPr>
        <w:t> </w:t>
      </w:r>
      <w:r>
        <w:rPr>
          <w:color w:val="6E6158"/>
        </w:rPr>
        <w:t>can</w:t>
      </w:r>
      <w:r>
        <w:rPr>
          <w:color w:val="6E6158"/>
          <w:spacing w:val="24"/>
        </w:rPr>
        <w:t> </w:t>
      </w:r>
      <w:r>
        <w:rPr>
          <w:color w:val="6E6158"/>
        </w:rPr>
        <w:t>enrich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court’s</w:t>
      </w:r>
      <w:r>
        <w:rPr>
          <w:color w:val="6E6158"/>
          <w:spacing w:val="24"/>
        </w:rPr>
        <w:t> </w:t>
      </w:r>
      <w:r>
        <w:rPr>
          <w:color w:val="6E6158"/>
        </w:rPr>
        <w:t>understanding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complexities</w:t>
      </w:r>
      <w:r>
        <w:rPr>
          <w:color w:val="6E6158"/>
          <w:spacing w:val="24"/>
        </w:rPr>
        <w:t> </w:t>
      </w:r>
      <w:r>
        <w:rPr>
          <w:color w:val="6E6158"/>
        </w:rPr>
        <w:t>inherent in</w:t>
      </w:r>
      <w:r>
        <w:rPr>
          <w:color w:val="6E6158"/>
          <w:spacing w:val="31"/>
        </w:rPr>
        <w:t> </w:t>
      </w:r>
      <w:r>
        <w:rPr>
          <w:color w:val="6E6158"/>
        </w:rPr>
        <w:t>any</w:t>
      </w:r>
      <w:r>
        <w:rPr>
          <w:color w:val="6E6158"/>
          <w:spacing w:val="31"/>
        </w:rPr>
        <w:t> </w:t>
      </w:r>
      <w:r>
        <w:rPr>
          <w:color w:val="6E6158"/>
        </w:rPr>
        <w:t>legal</w:t>
      </w:r>
      <w:r>
        <w:rPr>
          <w:color w:val="6E6158"/>
          <w:spacing w:val="31"/>
        </w:rPr>
        <w:t> </w:t>
      </w:r>
      <w:r>
        <w:rPr>
          <w:color w:val="6E6158"/>
        </w:rPr>
        <w:t>matter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provide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compelling</w:t>
      </w:r>
      <w:r>
        <w:rPr>
          <w:color w:val="6E6158"/>
          <w:spacing w:val="31"/>
        </w:rPr>
        <w:t> </w:t>
      </w:r>
      <w:r>
        <w:rPr>
          <w:color w:val="6E6158"/>
        </w:rPr>
        <w:t>viewpoint</w:t>
      </w:r>
      <w:r>
        <w:rPr>
          <w:color w:val="6E6158"/>
          <w:spacing w:val="31"/>
        </w:rPr>
        <w:t> </w:t>
      </w:r>
      <w:r>
        <w:rPr>
          <w:color w:val="6E6158"/>
        </w:rPr>
        <w:t>from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amicus’</w:t>
      </w:r>
      <w:r>
        <w:rPr>
          <w:color w:val="6E6158"/>
          <w:spacing w:val="31"/>
        </w:rPr>
        <w:t> </w:t>
      </w:r>
      <w:r>
        <w:rPr>
          <w:color w:val="6E6158"/>
        </w:rPr>
        <w:t>perspective.</w:t>
      </w:r>
    </w:p>
    <w:p>
      <w:pPr>
        <w:pStyle w:val="Heading1"/>
        <w:spacing w:before="168"/>
      </w:pPr>
      <w:r>
        <w:rPr>
          <w:color w:val="FF8100"/>
        </w:rPr>
        <w:t>INTERLOCUTORY</w:t>
      </w:r>
      <w:r>
        <w:rPr>
          <w:color w:val="FF8100"/>
          <w:spacing w:val="14"/>
        </w:rPr>
        <w:t> </w:t>
      </w:r>
      <w:r>
        <w:rPr>
          <w:color w:val="FF8100"/>
        </w:rPr>
        <w:t>APPEALS</w:t>
      </w:r>
      <w:r>
        <w:rPr>
          <w:color w:val="FF8100"/>
          <w:spacing w:val="14"/>
        </w:rPr>
        <w:t> </w:t>
      </w:r>
      <w:r>
        <w:rPr>
          <w:color w:val="FF8100"/>
        </w:rPr>
        <w:t>AND</w:t>
      </w:r>
      <w:r>
        <w:rPr>
          <w:color w:val="FF8100"/>
          <w:spacing w:val="14"/>
        </w:rPr>
        <w:t> </w:t>
      </w:r>
      <w:r>
        <w:rPr>
          <w:color w:val="FF8100"/>
        </w:rPr>
        <w:t>EXTRAORDINARY</w:t>
      </w:r>
      <w:r>
        <w:rPr>
          <w:color w:val="FF8100"/>
          <w:spacing w:val="14"/>
        </w:rPr>
        <w:t> </w:t>
      </w:r>
      <w:r>
        <w:rPr>
          <w:color w:val="FF8100"/>
          <w:spacing w:val="-2"/>
        </w:rPr>
        <w:t>WRITS</w:t>
      </w:r>
    </w:p>
    <w:p>
      <w:pPr>
        <w:pStyle w:val="BodyText"/>
        <w:spacing w:line="292" w:lineRule="auto"/>
        <w:ind w:right="563"/>
      </w:pPr>
      <w:r>
        <w:rPr>
          <w:color w:val="6E6158"/>
        </w:rPr>
        <w:t>Not every important ruling must, or can, wait for a final judgment. Some orders are immediately</w:t>
      </w:r>
      <w:r>
        <w:rPr>
          <w:color w:val="6E6158"/>
          <w:spacing w:val="40"/>
        </w:rPr>
        <w:t> </w:t>
      </w:r>
      <w:r>
        <w:rPr>
          <w:color w:val="6E6158"/>
        </w:rPr>
        <w:t>appealable, while others may be reviewed only with the appellate court’s permission or through</w:t>
      </w:r>
      <w:r>
        <w:rPr>
          <w:color w:val="6E6158"/>
          <w:spacing w:val="40"/>
        </w:rPr>
        <w:t> </w:t>
      </w:r>
      <w:r>
        <w:rPr>
          <w:color w:val="6E6158"/>
        </w:rPr>
        <w:t>an</w:t>
      </w:r>
      <w:r>
        <w:rPr>
          <w:color w:val="6E6158"/>
          <w:spacing w:val="29"/>
        </w:rPr>
        <w:t> </w:t>
      </w:r>
      <w:r>
        <w:rPr>
          <w:color w:val="6E6158"/>
        </w:rPr>
        <w:t>extraordinary</w:t>
      </w:r>
      <w:r>
        <w:rPr>
          <w:color w:val="6E6158"/>
          <w:spacing w:val="29"/>
        </w:rPr>
        <w:t> </w:t>
      </w:r>
      <w:r>
        <w:rPr>
          <w:color w:val="6E6158"/>
        </w:rPr>
        <w:t>writ.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available</w:t>
      </w:r>
      <w:r>
        <w:rPr>
          <w:color w:val="6E6158"/>
          <w:spacing w:val="29"/>
        </w:rPr>
        <w:t> </w:t>
      </w:r>
      <w:r>
        <w:rPr>
          <w:color w:val="6E6158"/>
        </w:rPr>
        <w:t>procedure</w:t>
      </w:r>
      <w:r>
        <w:rPr>
          <w:color w:val="6E6158"/>
          <w:spacing w:val="29"/>
        </w:rPr>
        <w:t> </w:t>
      </w:r>
      <w:r>
        <w:rPr>
          <w:color w:val="6E6158"/>
        </w:rPr>
        <w:t>depends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jurisdiction,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nature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</w:p>
    <w:p>
      <w:pPr>
        <w:pStyle w:val="BodyText"/>
        <w:spacing w:line="297" w:lineRule="auto" w:before="2"/>
        <w:ind w:right="531"/>
      </w:pPr>
      <w:r>
        <w:rPr>
          <w:color w:val="6E6158"/>
        </w:rPr>
        <w:t>ruling, and the harm that could result if review is delayed. Fennemore represents clients seeking</w:t>
      </w:r>
      <w:r>
        <w:rPr>
          <w:color w:val="6E6158"/>
          <w:spacing w:val="40"/>
        </w:rPr>
        <w:t> </w:t>
      </w:r>
      <w:r>
        <w:rPr>
          <w:color w:val="6E6158"/>
        </w:rPr>
        <w:t>and opposing interlocutory appellate review in federal and state courts. Our attorneys handle</w:t>
      </w:r>
      <w:r>
        <w:rPr>
          <w:color w:val="6E6158"/>
          <w:spacing w:val="40"/>
        </w:rPr>
        <w:t> </w:t>
      </w:r>
      <w:r>
        <w:rPr>
          <w:color w:val="6E6158"/>
        </w:rPr>
        <w:t>interlocutory appeals, petitions for permission to appeal, and extraordinary-writ proceedings,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16"/>
        </w:rPr>
        <w:t> </w:t>
      </w:r>
      <w:r>
        <w:rPr>
          <w:color w:val="6E6158"/>
        </w:rPr>
        <w:t>petitions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special</w:t>
      </w:r>
      <w:r>
        <w:rPr>
          <w:color w:val="6E6158"/>
          <w:spacing w:val="16"/>
        </w:rPr>
        <w:t> </w:t>
      </w:r>
      <w:r>
        <w:rPr>
          <w:color w:val="6E6158"/>
        </w:rPr>
        <w:t>action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Arizona,</w:t>
      </w:r>
      <w:r>
        <w:rPr>
          <w:color w:val="6E6158"/>
          <w:spacing w:val="16"/>
        </w:rPr>
        <w:t> </w:t>
      </w:r>
      <w:r>
        <w:rPr>
          <w:color w:val="6E6158"/>
        </w:rPr>
        <w:t>Rule</w:t>
      </w:r>
      <w:r>
        <w:rPr>
          <w:color w:val="6E6158"/>
          <w:spacing w:val="16"/>
        </w:rPr>
        <w:t> </w:t>
      </w:r>
      <w:r>
        <w:rPr>
          <w:color w:val="6E6158"/>
        </w:rPr>
        <w:t>21</w:t>
      </w:r>
      <w:r>
        <w:rPr>
          <w:color w:val="6E6158"/>
          <w:spacing w:val="16"/>
        </w:rPr>
        <w:t> </w:t>
      </w:r>
      <w:r>
        <w:rPr>
          <w:color w:val="6E6158"/>
        </w:rPr>
        <w:t>relief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Colorado,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petitions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writs of mandamus or prohibition in federal and state courts. We have pursued mandamus relief in</w:t>
      </w:r>
      <w:r>
        <w:rPr>
          <w:color w:val="6E6158"/>
          <w:spacing w:val="40"/>
        </w:rPr>
        <w:t> </w:t>
      </w:r>
      <w:r>
        <w:rPr>
          <w:color w:val="6E6158"/>
        </w:rPr>
        <w:t>courts including the Ninth Circuit and the Nevada Supreme Court.</w:t>
      </w:r>
    </w:p>
    <w:p>
      <w:pPr>
        <w:pStyle w:val="BodyText"/>
        <w:spacing w:line="295" w:lineRule="auto" w:before="187"/>
        <w:ind w:right="596"/>
      </w:pPr>
      <w:r>
        <w:rPr>
          <w:color w:val="6E6158"/>
        </w:rPr>
        <w:t>These proceedings move quickly and require focused advocacy. We help clients determine</w:t>
      </w:r>
      <w:r>
        <w:rPr>
          <w:color w:val="6E6158"/>
          <w:spacing w:val="40"/>
        </w:rPr>
        <w:t> </w:t>
      </w:r>
      <w:r>
        <w:rPr>
          <w:color w:val="6E6158"/>
        </w:rPr>
        <w:t>whether immediate review is available, select the appropriate procedural vehicle, preserve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relevant</w:t>
      </w:r>
      <w:r>
        <w:rPr>
          <w:color w:val="6E6158"/>
          <w:spacing w:val="25"/>
        </w:rPr>
        <w:t> </w:t>
      </w:r>
      <w:r>
        <w:rPr>
          <w:color w:val="6E6158"/>
        </w:rPr>
        <w:t>issues,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present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concise</w:t>
      </w:r>
      <w:r>
        <w:rPr>
          <w:color w:val="6E6158"/>
          <w:spacing w:val="25"/>
        </w:rPr>
        <w:t> </w:t>
      </w:r>
      <w:r>
        <w:rPr>
          <w:color w:val="6E6158"/>
        </w:rPr>
        <w:t>explanation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why</w:t>
      </w:r>
      <w:r>
        <w:rPr>
          <w:color w:val="6E6158"/>
          <w:spacing w:val="25"/>
        </w:rPr>
        <w:t> </w:t>
      </w:r>
      <w:r>
        <w:rPr>
          <w:color w:val="6E6158"/>
        </w:rPr>
        <w:t>appellate</w:t>
      </w:r>
      <w:r>
        <w:rPr>
          <w:color w:val="6E6158"/>
          <w:spacing w:val="25"/>
        </w:rPr>
        <w:t> </w:t>
      </w:r>
      <w:r>
        <w:rPr>
          <w:color w:val="6E6158"/>
        </w:rPr>
        <w:t>intervention</w:t>
      </w:r>
      <w:r>
        <w:rPr>
          <w:color w:val="6E6158"/>
          <w:spacing w:val="25"/>
        </w:rPr>
        <w:t> </w:t>
      </w:r>
      <w:r>
        <w:rPr>
          <w:color w:val="6E6158"/>
        </w:rPr>
        <w:t>is—or</w:t>
      </w:r>
      <w:r>
        <w:rPr>
          <w:color w:val="6E6158"/>
          <w:spacing w:val="25"/>
        </w:rPr>
        <w:t> </w:t>
      </w:r>
      <w:r>
        <w:rPr>
          <w:color w:val="6E6158"/>
        </w:rPr>
        <w:t>is</w:t>
      </w:r>
      <w:r>
        <w:rPr>
          <w:color w:val="6E6158"/>
          <w:spacing w:val="25"/>
        </w:rPr>
        <w:t> </w:t>
      </w:r>
      <w:r>
        <w:rPr>
          <w:color w:val="6E6158"/>
        </w:rPr>
        <w:t>not—warranted before final judgment.</w:t>
      </w:r>
    </w:p>
    <w:p>
      <w:pPr>
        <w:pStyle w:val="Heading1"/>
      </w:pPr>
      <w:r>
        <w:rPr>
          <w:color w:val="FF8100"/>
        </w:rPr>
        <w:t>TRIAL</w:t>
      </w:r>
      <w:r>
        <w:rPr>
          <w:color w:val="FF8100"/>
          <w:spacing w:val="8"/>
        </w:rPr>
        <w:t> </w:t>
      </w:r>
      <w:r>
        <w:rPr>
          <w:color w:val="FF8100"/>
        </w:rPr>
        <w:t>CONSULTING</w:t>
      </w:r>
      <w:r>
        <w:rPr>
          <w:color w:val="FF8100"/>
          <w:spacing w:val="8"/>
        </w:rPr>
        <w:t> </w:t>
      </w:r>
      <w:r>
        <w:rPr>
          <w:color w:val="FF8100"/>
        </w:rPr>
        <w:t>&amp;</w:t>
      </w:r>
      <w:r>
        <w:rPr>
          <w:color w:val="FF8100"/>
          <w:spacing w:val="9"/>
        </w:rPr>
        <w:t> </w:t>
      </w:r>
      <w:r>
        <w:rPr>
          <w:color w:val="FF8100"/>
        </w:rPr>
        <w:t>ERROR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PRESERVATION</w:t>
      </w:r>
    </w:p>
    <w:p>
      <w:pPr>
        <w:pStyle w:val="BodyText"/>
        <w:spacing w:line="292" w:lineRule="auto" w:before="147"/>
      </w:pPr>
      <w:r>
        <w:rPr>
          <w:color w:val="6E6158"/>
        </w:rPr>
        <w:t>Fennemore’s appellate attorneys work alongside trial counsel before, during, and after trial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preserve issues for appellate review and strengthen the record.</w:t>
      </w:r>
    </w:p>
    <w:p>
      <w:pPr>
        <w:pStyle w:val="BodyText"/>
        <w:spacing w:line="295" w:lineRule="auto" w:before="204"/>
      </w:pPr>
      <w:r>
        <w:rPr>
          <w:color w:val="6E6158"/>
        </w:rPr>
        <w:t>Our attorneys can assist with objections, evidentiary issues, jury instructions, dispositive motions,</w:t>
      </w:r>
      <w:r>
        <w:rPr>
          <w:color w:val="6E6158"/>
          <w:spacing w:val="40"/>
        </w:rPr>
        <w:t> </w:t>
      </w:r>
      <w:r>
        <w:rPr>
          <w:color w:val="6E6158"/>
        </w:rPr>
        <w:t>and other pretrial and post-trial matters that may affect a later appeal. By identifying appellate</w:t>
      </w:r>
      <w:r>
        <w:rPr>
          <w:color w:val="6E6158"/>
          <w:spacing w:val="40"/>
        </w:rPr>
        <w:t> </w:t>
      </w:r>
      <w:r>
        <w:rPr>
          <w:color w:val="6E6158"/>
        </w:rPr>
        <w:t>issues early and helping ensure that arguments are properly raised and preserved, </w:t>
      </w:r>
      <w:r>
        <w:rPr>
          <w:color w:val="6E6158"/>
        </w:rPr>
        <w:t>Fennemore’s</w:t>
      </w:r>
      <w:r>
        <w:rPr>
          <w:color w:val="6E6158"/>
          <w:spacing w:val="40"/>
        </w:rPr>
        <w:t> </w:t>
      </w:r>
      <w:r>
        <w:rPr>
          <w:color w:val="6E6158"/>
        </w:rPr>
        <w:t>appellate</w:t>
      </w:r>
      <w:r>
        <w:rPr>
          <w:color w:val="6E6158"/>
          <w:spacing w:val="31"/>
        </w:rPr>
        <w:t> </w:t>
      </w:r>
      <w:r>
        <w:rPr>
          <w:color w:val="6E6158"/>
        </w:rPr>
        <w:t>counsel</w:t>
      </w:r>
      <w:r>
        <w:rPr>
          <w:color w:val="6E6158"/>
          <w:spacing w:val="31"/>
        </w:rPr>
        <w:t> </w:t>
      </w:r>
      <w:r>
        <w:rPr>
          <w:color w:val="6E6158"/>
        </w:rPr>
        <w:t>can</w:t>
      </w:r>
      <w:r>
        <w:rPr>
          <w:color w:val="6E6158"/>
          <w:spacing w:val="31"/>
        </w:rPr>
        <w:t> </w:t>
      </w:r>
      <w:r>
        <w:rPr>
          <w:color w:val="6E6158"/>
        </w:rPr>
        <w:t>reduce</w:t>
      </w:r>
      <w:r>
        <w:rPr>
          <w:color w:val="6E6158"/>
          <w:spacing w:val="31"/>
        </w:rPr>
        <w:t> </w:t>
      </w:r>
      <w:r>
        <w:rPr>
          <w:color w:val="6E6158"/>
        </w:rPr>
        <w:t>procedural</w:t>
      </w:r>
      <w:r>
        <w:rPr>
          <w:color w:val="6E6158"/>
          <w:spacing w:val="31"/>
        </w:rPr>
        <w:t> </w:t>
      </w:r>
      <w:r>
        <w:rPr>
          <w:color w:val="6E6158"/>
        </w:rPr>
        <w:t>risk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position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case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effective</w:t>
      </w:r>
      <w:r>
        <w:rPr>
          <w:color w:val="6E6158"/>
          <w:spacing w:val="31"/>
        </w:rPr>
        <w:t> </w:t>
      </w:r>
      <w:r>
        <w:rPr>
          <w:color w:val="6E6158"/>
        </w:rPr>
        <w:t>review.</w:t>
      </w:r>
    </w:p>
    <w:p>
      <w:pPr>
        <w:pStyle w:val="BodyText"/>
        <w:spacing w:line="292" w:lineRule="auto" w:before="197"/>
      </w:pPr>
      <w:r>
        <w:rPr>
          <w:color w:val="6E6158"/>
        </w:rPr>
        <w:t>This collaboration between trial and appellate counsel helps create a clear, complete </w:t>
      </w:r>
      <w:r>
        <w:rPr>
          <w:color w:val="6E6158"/>
        </w:rPr>
        <w:t>appellate record and improves the client’s ability to pursue or defend an appeal.</w:t>
      </w:r>
    </w:p>
    <w:sectPr>
      <w:pgSz w:w="12240" w:h="15840"/>
      <w:pgMar w:top="5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6"/>
      <w:ind w:left="459" w:right="657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3"/>
      <w:ind w:left="45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3"/>
      <w:ind w:right="4"/>
      <w:jc w:val="center"/>
      <w:outlineLvl w:val="2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www.fennemorelaw.com/services/business-litigation/" TargetMode="External"/><Relationship Id="rId10" Type="http://schemas.openxmlformats.org/officeDocument/2006/relationships/hyperlink" Target="https://www.fennemorelaw.com/services/natural-resources-energy-and-environmental/" TargetMode="External"/><Relationship Id="rId11" Type="http://schemas.openxmlformats.org/officeDocument/2006/relationships/hyperlink" Target="https://www.fennemorelaw.com/people/attorneys/timothy-j-berg/" TargetMode="External"/><Relationship Id="rId12" Type="http://schemas.openxmlformats.org/officeDocument/2006/relationships/hyperlink" Target="https://www.fennemorelaw.com/contact-us/#phoenix" TargetMode="External"/><Relationship Id="rId13" Type="http://schemas.openxmlformats.org/officeDocument/2006/relationships/hyperlink" Target="mailto:tberg@fennemorelaw.com" TargetMode="External"/><Relationship Id="rId14" Type="http://schemas.openxmlformats.org/officeDocument/2006/relationships/hyperlink" Target="https://www.fennemorelaw.com/cat-insights/award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Appellate Litigation - Fennemore</dc:title>
  <dcterms:created xsi:type="dcterms:W3CDTF">2026-09-30T13:56:34Z</dcterms:created>
  <dcterms:modified xsi:type="dcterms:W3CDTF">2026-09-30T13:56:34Z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2026-09-30T00:00:00Z</vt:filetime>
  </property>
  <property fmtid="{D5CDD505-2E9C-101B-9397-08002B2CF9AE}" pid="6" name="Producer">
    <vt:lpwstr>Skia/PDF m153</vt:lpwstr>
  </property>
</Properties>
</file>