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BELAN WAGN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010318" y="763308"/>
                            <a:ext cx="109982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BELAN K. 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39"/>
                                </w:rPr>
                                <w:t>WAGNER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43413" y="2133494"/>
                            <a:ext cx="6337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Sacramento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916.920.5286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916.920.5286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83683" y="2500373"/>
                            <a:ext cx="15532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bwagner@fennemorelaw.com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BELAN WAGNER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51;top:-3887;width:1732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BELAN K. </w:t>
                        </w:r>
                        <w:r>
                          <w:rPr>
                            <w:color w:val="FFFFFF"/>
                            <w:spacing w:val="-7"/>
                            <w:sz w:val="39"/>
                          </w:rPr>
                          <w:t>WAGNER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018;top:-1729;width:99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Sacramento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916.920.5286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916.920.5286</w:t>
                        </w:r>
                      </w:p>
                    </w:txbxContent>
                  </v:textbox>
                  <w10:wrap type="none"/>
                </v:shape>
                <v:shape style="position:absolute;left:7294;top:-1151;width:2446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bwagner@fennemorelaw.com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BELAN</w:t>
      </w:r>
      <w:r>
        <w:rPr>
          <w:color w:val="FF8100"/>
          <w:spacing w:val="5"/>
        </w:rPr>
        <w:t> </w:t>
      </w:r>
      <w:r>
        <w:rPr>
          <w:color w:val="FF8100"/>
        </w:rPr>
        <w:t>K.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WAGNER</w:t>
      </w:r>
    </w:p>
    <w:p>
      <w:pPr>
        <w:pStyle w:val="BodyText"/>
        <w:spacing w:line="297" w:lineRule="auto" w:before="146"/>
        <w:ind w:right="198"/>
      </w:pPr>
      <w:r>
        <w:rPr>
          <w:color w:val="6E6158"/>
        </w:rPr>
        <w:t>Belan Kirk Wagner is a taxation and transactional attorney, bringing counsel that navigates the</w:t>
      </w:r>
      <w:r>
        <w:rPr>
          <w:color w:val="6E6158"/>
          <w:spacing w:val="40"/>
        </w:rPr>
        <w:t> </w:t>
      </w:r>
      <w:r>
        <w:rPr>
          <w:color w:val="6E6158"/>
        </w:rPr>
        <w:t>intricacies of both realms with proficiency. With over 40 years of experience in business, taxation,</w:t>
      </w:r>
      <w:r>
        <w:rPr>
          <w:color w:val="6E6158"/>
          <w:spacing w:val="40"/>
        </w:rPr>
        <w:t> </w:t>
      </w:r>
      <w:r>
        <w:rPr>
          <w:color w:val="6E6158"/>
        </w:rPr>
        <w:t>real</w:t>
      </w:r>
      <w:r>
        <w:rPr>
          <w:color w:val="6E6158"/>
          <w:spacing w:val="29"/>
        </w:rPr>
        <w:t> </w:t>
      </w:r>
      <w:r>
        <w:rPr>
          <w:color w:val="6E6158"/>
        </w:rPr>
        <w:t>estate,</w:t>
      </w:r>
      <w:r>
        <w:rPr>
          <w:color w:val="6E6158"/>
          <w:spacing w:val="29"/>
        </w:rPr>
        <w:t> </w:t>
      </w:r>
      <w:r>
        <w:rPr>
          <w:color w:val="6E6158"/>
        </w:rPr>
        <w:t>estate</w:t>
      </w:r>
      <w:r>
        <w:rPr>
          <w:color w:val="6E6158"/>
          <w:spacing w:val="29"/>
        </w:rPr>
        <w:t> </w:t>
      </w:r>
      <w:r>
        <w:rPr>
          <w:color w:val="6E6158"/>
        </w:rPr>
        <w:t>planning,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controversy</w:t>
      </w:r>
      <w:r>
        <w:rPr>
          <w:color w:val="6E6158"/>
          <w:spacing w:val="29"/>
        </w:rPr>
        <w:t> </w:t>
      </w:r>
      <w:r>
        <w:rPr>
          <w:color w:val="6E6158"/>
        </w:rPr>
        <w:t>work,</w:t>
      </w:r>
      <w:r>
        <w:rPr>
          <w:color w:val="6E6158"/>
          <w:spacing w:val="29"/>
        </w:rPr>
        <w:t> </w:t>
      </w:r>
      <w:r>
        <w:rPr>
          <w:color w:val="6E6158"/>
        </w:rPr>
        <w:t>Belan</w:t>
      </w:r>
      <w:r>
        <w:rPr>
          <w:color w:val="6E6158"/>
          <w:spacing w:val="29"/>
        </w:rPr>
        <w:t> </w:t>
      </w:r>
      <w:r>
        <w:rPr>
          <w:color w:val="6E6158"/>
        </w:rPr>
        <w:t>has</w:t>
      </w:r>
      <w:r>
        <w:rPr>
          <w:color w:val="6E6158"/>
          <w:spacing w:val="29"/>
        </w:rPr>
        <w:t> </w:t>
      </w:r>
      <w:r>
        <w:rPr>
          <w:color w:val="6E6158"/>
        </w:rPr>
        <w:t>crafted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unique</w:t>
      </w:r>
      <w:r>
        <w:rPr>
          <w:color w:val="6E6158"/>
          <w:spacing w:val="29"/>
        </w:rPr>
        <w:t> </w:t>
      </w:r>
      <w:r>
        <w:rPr>
          <w:color w:val="6E6158"/>
        </w:rPr>
        <w:t>practice</w:t>
      </w:r>
      <w:r>
        <w:rPr>
          <w:color w:val="6E6158"/>
          <w:spacing w:val="29"/>
        </w:rPr>
        <w:t> </w:t>
      </w:r>
      <w:r>
        <w:rPr>
          <w:color w:val="6E6158"/>
        </w:rPr>
        <w:t>that offers a client-centric approach. This approach ensures each legal solution is as distinctive and</w:t>
      </w:r>
      <w:r>
        <w:rPr>
          <w:color w:val="6E6158"/>
          <w:spacing w:val="40"/>
        </w:rPr>
        <w:t> </w:t>
      </w:r>
      <w:r>
        <w:rPr>
          <w:color w:val="6E6158"/>
        </w:rPr>
        <w:t>personalized</w:t>
      </w:r>
      <w:r>
        <w:rPr>
          <w:color w:val="6E6158"/>
          <w:spacing w:val="34"/>
        </w:rPr>
        <w:t> </w:t>
      </w:r>
      <w:r>
        <w:rPr>
          <w:color w:val="6E6158"/>
        </w:rPr>
        <w:t>as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clients</w:t>
      </w:r>
      <w:r>
        <w:rPr>
          <w:color w:val="6E6158"/>
          <w:spacing w:val="34"/>
        </w:rPr>
        <w:t> </w:t>
      </w:r>
      <w:r>
        <w:rPr>
          <w:color w:val="6E6158"/>
        </w:rPr>
        <w:t>themselves,</w:t>
      </w:r>
      <w:r>
        <w:rPr>
          <w:color w:val="6E6158"/>
          <w:spacing w:val="34"/>
        </w:rPr>
        <w:t> </w:t>
      </w:r>
      <w:r>
        <w:rPr>
          <w:color w:val="6E6158"/>
        </w:rPr>
        <w:t>ranging</w:t>
      </w:r>
      <w:r>
        <w:rPr>
          <w:color w:val="6E6158"/>
          <w:spacing w:val="34"/>
        </w:rPr>
        <w:t> </w:t>
      </w:r>
      <w:r>
        <w:rPr>
          <w:color w:val="6E6158"/>
        </w:rPr>
        <w:t>from</w:t>
      </w:r>
      <w:r>
        <w:rPr>
          <w:color w:val="6E6158"/>
          <w:spacing w:val="34"/>
        </w:rPr>
        <w:t> </w:t>
      </w:r>
      <w:r>
        <w:rPr>
          <w:color w:val="6E6158"/>
        </w:rPr>
        <w:t>business</w:t>
      </w:r>
      <w:r>
        <w:rPr>
          <w:color w:val="6E6158"/>
          <w:spacing w:val="34"/>
        </w:rPr>
        <w:t> </w:t>
      </w:r>
      <w:r>
        <w:rPr>
          <w:color w:val="6E6158"/>
        </w:rPr>
        <w:t>owners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executives</w:t>
      </w:r>
      <w:r>
        <w:rPr>
          <w:color w:val="6E6158"/>
          <w:spacing w:val="34"/>
        </w:rPr>
        <w:t> </w:t>
      </w:r>
      <w:r>
        <w:rPr>
          <w:color w:val="6E6158"/>
        </w:rPr>
        <w:t>to individuals navigating today’s multifaceted legal system.</w:t>
      </w:r>
    </w:p>
    <w:p>
      <w:pPr>
        <w:pStyle w:val="BodyText"/>
        <w:spacing w:line="295" w:lineRule="auto" w:before="188"/>
        <w:ind w:right="198"/>
      </w:pPr>
      <w:r>
        <w:rPr>
          <w:color w:val="6E6158"/>
        </w:rPr>
        <w:t>Belan also provides general counsel services to privately held and family-run businesses, offering</w:t>
      </w:r>
      <w:r>
        <w:rPr>
          <w:color w:val="6E6158"/>
          <w:spacing w:val="40"/>
        </w:rPr>
        <w:t> </w:t>
      </w:r>
      <w:r>
        <w:rPr>
          <w:color w:val="6E6158"/>
        </w:rPr>
        <w:t>seasoned guidance informed by more than four decades of tax and transactional experience.</w:t>
      </w:r>
      <w:r>
        <w:rPr>
          <w:color w:val="6E6158"/>
          <w:spacing w:val="40"/>
        </w:rPr>
        <w:t> </w:t>
      </w:r>
      <w:r>
        <w:rPr>
          <w:color w:val="6E6158"/>
        </w:rPr>
        <w:t>Clients rely on him for strategic advice on governance, contract negotiation, operational </w:t>
      </w:r>
      <w:r>
        <w:rPr>
          <w:color w:val="6E6158"/>
        </w:rPr>
        <w:t>issues,</w:t>
      </w:r>
      <w:r>
        <w:rPr>
          <w:color w:val="6E6158"/>
          <w:spacing w:val="40"/>
        </w:rPr>
        <w:t> </w:t>
      </w:r>
      <w:r>
        <w:rPr>
          <w:color w:val="6E6158"/>
        </w:rPr>
        <w:t>restructuring, and long-term planning. His practice is grounded in a deep understanding of how</w:t>
      </w:r>
      <w:r>
        <w:rPr>
          <w:color w:val="6E6158"/>
          <w:spacing w:val="40"/>
        </w:rPr>
        <w:t> </w:t>
      </w:r>
      <w:r>
        <w:rPr>
          <w:color w:val="6E6158"/>
        </w:rPr>
        <w:t>tax,</w:t>
      </w:r>
      <w:r>
        <w:rPr>
          <w:color w:val="6E6158"/>
          <w:spacing w:val="35"/>
        </w:rPr>
        <w:t> </w:t>
      </w:r>
      <w:r>
        <w:rPr>
          <w:color w:val="6E6158"/>
        </w:rPr>
        <w:t>business,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financial</w:t>
      </w:r>
      <w:r>
        <w:rPr>
          <w:color w:val="6E6158"/>
          <w:spacing w:val="35"/>
        </w:rPr>
        <w:t> </w:t>
      </w:r>
      <w:r>
        <w:rPr>
          <w:color w:val="6E6158"/>
        </w:rPr>
        <w:t>considerations</w:t>
      </w:r>
      <w:r>
        <w:rPr>
          <w:color w:val="6E6158"/>
          <w:spacing w:val="35"/>
        </w:rPr>
        <w:t> </w:t>
      </w:r>
      <w:r>
        <w:rPr>
          <w:color w:val="6E6158"/>
        </w:rPr>
        <w:t>intersect,</w:t>
      </w:r>
      <w:r>
        <w:rPr>
          <w:color w:val="6E6158"/>
          <w:spacing w:val="35"/>
        </w:rPr>
        <w:t> </w:t>
      </w:r>
      <w:r>
        <w:rPr>
          <w:color w:val="6E6158"/>
        </w:rPr>
        <w:t>enabling</w:t>
      </w:r>
      <w:r>
        <w:rPr>
          <w:color w:val="6E6158"/>
          <w:spacing w:val="35"/>
        </w:rPr>
        <w:t> </w:t>
      </w:r>
      <w:r>
        <w:rPr>
          <w:color w:val="6E6158"/>
        </w:rPr>
        <w:t>him</w:t>
      </w:r>
      <w:r>
        <w:rPr>
          <w:color w:val="6E6158"/>
          <w:spacing w:val="35"/>
        </w:rPr>
        <w:t> </w:t>
      </w:r>
      <w:r>
        <w:rPr>
          <w:color w:val="6E6158"/>
        </w:rPr>
        <w:t>to</w:t>
      </w:r>
      <w:r>
        <w:rPr>
          <w:color w:val="6E6158"/>
          <w:spacing w:val="35"/>
        </w:rPr>
        <w:t> </w:t>
      </w:r>
      <w:r>
        <w:rPr>
          <w:color w:val="6E6158"/>
        </w:rPr>
        <w:t>craft</w:t>
      </w:r>
      <w:r>
        <w:rPr>
          <w:color w:val="6E6158"/>
          <w:spacing w:val="35"/>
        </w:rPr>
        <w:t> </w:t>
      </w:r>
      <w:r>
        <w:rPr>
          <w:color w:val="6E6158"/>
        </w:rPr>
        <w:t>practical,</w:t>
      </w:r>
      <w:r>
        <w:rPr>
          <w:color w:val="6E6158"/>
          <w:spacing w:val="35"/>
        </w:rPr>
        <w:t> </w:t>
      </w:r>
      <w:r>
        <w:rPr>
          <w:color w:val="6E6158"/>
        </w:rPr>
        <w:t>forward-looking</w:t>
      </w:r>
      <w:r>
        <w:rPr>
          <w:color w:val="6E6158"/>
          <w:spacing w:val="29"/>
        </w:rPr>
        <w:t> </w:t>
      </w:r>
      <w:r>
        <w:rPr>
          <w:color w:val="6E6158"/>
        </w:rPr>
        <w:t>solutions</w:t>
      </w:r>
      <w:r>
        <w:rPr>
          <w:color w:val="6E6158"/>
          <w:spacing w:val="29"/>
        </w:rPr>
        <w:t> </w:t>
      </w:r>
      <w:r>
        <w:rPr>
          <w:color w:val="6E6158"/>
        </w:rPr>
        <w:t>that</w:t>
      </w:r>
      <w:r>
        <w:rPr>
          <w:color w:val="6E6158"/>
          <w:spacing w:val="29"/>
        </w:rPr>
        <w:t> </w:t>
      </w:r>
      <w:r>
        <w:rPr>
          <w:color w:val="6E6158"/>
        </w:rPr>
        <w:t>safeguard</w:t>
      </w:r>
      <w:r>
        <w:rPr>
          <w:color w:val="6E6158"/>
          <w:spacing w:val="29"/>
        </w:rPr>
        <w:t> </w:t>
      </w:r>
      <w:r>
        <w:rPr>
          <w:color w:val="6E6158"/>
        </w:rPr>
        <w:t>assets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support</w:t>
      </w:r>
      <w:r>
        <w:rPr>
          <w:color w:val="6E6158"/>
          <w:spacing w:val="29"/>
        </w:rPr>
        <w:t> </w:t>
      </w:r>
      <w:r>
        <w:rPr>
          <w:color w:val="6E6158"/>
        </w:rPr>
        <w:t>growth.</w:t>
      </w:r>
      <w:r>
        <w:rPr>
          <w:color w:val="6E6158"/>
          <w:spacing w:val="29"/>
        </w:rPr>
        <w:t> </w:t>
      </w:r>
      <w:r>
        <w:rPr>
          <w:color w:val="6E6158"/>
        </w:rPr>
        <w:t>Belan</w:t>
      </w:r>
      <w:r>
        <w:rPr>
          <w:color w:val="6E6158"/>
          <w:spacing w:val="29"/>
        </w:rPr>
        <w:t> </w:t>
      </w:r>
      <w:r>
        <w:rPr>
          <w:color w:val="6E6158"/>
        </w:rPr>
        <w:t>serves</w:t>
      </w:r>
      <w:r>
        <w:rPr>
          <w:color w:val="6E6158"/>
          <w:spacing w:val="29"/>
        </w:rPr>
        <w:t> </w:t>
      </w:r>
      <w:r>
        <w:rPr>
          <w:color w:val="6E6158"/>
        </w:rPr>
        <w:t>not</w:t>
      </w:r>
      <w:r>
        <w:rPr>
          <w:color w:val="6E6158"/>
          <w:spacing w:val="29"/>
        </w:rPr>
        <w:t> </w:t>
      </w:r>
      <w:r>
        <w:rPr>
          <w:color w:val="6E6158"/>
        </w:rPr>
        <w:t>only</w:t>
      </w:r>
      <w:r>
        <w:rPr>
          <w:color w:val="6E6158"/>
          <w:spacing w:val="29"/>
        </w:rPr>
        <w:t> </w:t>
      </w:r>
      <w:r>
        <w:rPr>
          <w:color w:val="6E6158"/>
        </w:rPr>
        <w:t>as</w:t>
      </w:r>
      <w:r>
        <w:rPr>
          <w:color w:val="6E6158"/>
          <w:spacing w:val="29"/>
        </w:rPr>
        <w:t> </w:t>
      </w:r>
      <w:r>
        <w:rPr>
          <w:color w:val="6E6158"/>
        </w:rPr>
        <w:t>legal</w:t>
      </w:r>
    </w:p>
    <w:p>
      <w:pPr>
        <w:pStyle w:val="BodyText"/>
        <w:spacing w:line="302" w:lineRule="auto"/>
        <w:ind w:right="17"/>
      </w:pPr>
      <w:r>
        <w:rPr>
          <w:color w:val="6E6158"/>
        </w:rPr>
        <w:t>counsel, but as a trusted, steady advisor who helps business owners navigate complexity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confidence.</w:t>
      </w:r>
    </w:p>
    <w:p>
      <w:pPr>
        <w:pStyle w:val="BodyText"/>
        <w:spacing w:line="297" w:lineRule="auto" w:before="184"/>
        <w:ind w:right="451"/>
      </w:pPr>
      <w:r>
        <w:rPr>
          <w:color w:val="6E6158"/>
        </w:rPr>
        <w:t>Belan’s practice goes beyond compliance; he creates a legal framework to safeguard his</w:t>
      </w:r>
      <w:r>
        <w:rPr>
          <w:color w:val="6E6158"/>
          <w:spacing w:val="40"/>
        </w:rPr>
        <w:t> </w:t>
      </w:r>
      <w:r>
        <w:rPr>
          <w:color w:val="6E6158"/>
        </w:rPr>
        <w:t>clients’ assets. He provides direct representation to clients while also serving as a resource to</w:t>
      </w:r>
      <w:r>
        <w:rPr>
          <w:color w:val="6E6158"/>
          <w:spacing w:val="40"/>
        </w:rPr>
        <w:t> </w:t>
      </w:r>
      <w:r>
        <w:rPr>
          <w:color w:val="6E6158"/>
        </w:rPr>
        <w:t>clients’</w:t>
      </w:r>
      <w:r>
        <w:rPr>
          <w:color w:val="6E6158"/>
          <w:spacing w:val="40"/>
        </w:rPr>
        <w:t> </w:t>
      </w:r>
      <w:r>
        <w:rPr>
          <w:color w:val="6E6158"/>
        </w:rPr>
        <w:t>primary</w:t>
      </w:r>
      <w:r>
        <w:rPr>
          <w:color w:val="6E6158"/>
          <w:spacing w:val="40"/>
        </w:rPr>
        <w:t> </w:t>
      </w:r>
      <w:r>
        <w:rPr>
          <w:color w:val="6E6158"/>
        </w:rPr>
        <w:t>attorneys,</w:t>
      </w:r>
      <w:r>
        <w:rPr>
          <w:color w:val="6E6158"/>
          <w:spacing w:val="40"/>
        </w:rPr>
        <w:t> </w:t>
      </w:r>
      <w:r>
        <w:rPr>
          <w:color w:val="6E6158"/>
        </w:rPr>
        <w:t>accountants,</w:t>
      </w:r>
      <w:r>
        <w:rPr>
          <w:color w:val="6E6158"/>
          <w:spacing w:val="40"/>
        </w:rPr>
        <w:t> </w:t>
      </w:r>
      <w:r>
        <w:rPr>
          <w:color w:val="6E6158"/>
        </w:rPr>
        <w:t>financial</w:t>
      </w:r>
      <w:r>
        <w:rPr>
          <w:color w:val="6E6158"/>
          <w:spacing w:val="40"/>
        </w:rPr>
        <w:t> </w:t>
      </w:r>
      <w:r>
        <w:rPr>
          <w:color w:val="6E6158"/>
        </w:rPr>
        <w:t>advisers,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other</w:t>
      </w:r>
      <w:r>
        <w:rPr>
          <w:color w:val="6E6158"/>
          <w:spacing w:val="40"/>
        </w:rPr>
        <w:t> </w:t>
      </w:r>
      <w:r>
        <w:rPr>
          <w:color w:val="6E6158"/>
        </w:rPr>
        <w:t>representatives.</w:t>
      </w:r>
      <w:r>
        <w:rPr>
          <w:color w:val="6E6158"/>
          <w:spacing w:val="40"/>
        </w:rPr>
        <w:t> </w:t>
      </w:r>
      <w:r>
        <w:rPr>
          <w:color w:val="6E6158"/>
        </w:rPr>
        <w:t>His</w:t>
      </w:r>
    </w:p>
    <w:p>
      <w:pPr>
        <w:pStyle w:val="BodyText"/>
        <w:spacing w:line="292" w:lineRule="auto"/>
        <w:ind w:right="17"/>
      </w:pPr>
      <w:r>
        <w:rPr>
          <w:color w:val="6E6158"/>
        </w:rPr>
        <w:t>knowledge is an advantage, offering proactive tax planning and transactional advice that is</w:t>
      </w:r>
      <w:r>
        <w:rPr>
          <w:color w:val="6E6158"/>
          <w:spacing w:val="40"/>
        </w:rPr>
        <w:t> </w:t>
      </w:r>
      <w:r>
        <w:rPr>
          <w:color w:val="6E6158"/>
        </w:rPr>
        <w:t>integrated to protect and maximize financial interests. Belan is a strategic attorney dedicated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your success.</w:t>
      </w:r>
    </w:p>
    <w:p>
      <w:pPr>
        <w:pStyle w:val="Heading2"/>
        <w:spacing w:before="167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LL.</w:t>
      </w:r>
      <w:r>
        <w:rPr>
          <w:color w:val="6E6158"/>
          <w:spacing w:val="8"/>
        </w:rPr>
        <w:t> </w:t>
      </w:r>
      <w:r>
        <w:rPr>
          <w:color w:val="6E6158"/>
        </w:rPr>
        <w:t>M.,</w:t>
      </w:r>
      <w:r>
        <w:rPr>
          <w:color w:val="6E6158"/>
          <w:spacing w:val="8"/>
        </w:rPr>
        <w:t> </w:t>
      </w:r>
      <w:r>
        <w:rPr>
          <w:color w:val="6E6158"/>
        </w:rPr>
        <w:t>Taxation,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Miami</w:t>
      </w:r>
    </w:p>
    <w:p>
      <w:pPr>
        <w:pStyle w:val="BodyText"/>
        <w:spacing w:line="408" w:lineRule="auto" w:before="174"/>
        <w:ind w:right="3917"/>
        <w:rPr>
          <w:i/>
          <w:sz w:val="20"/>
        </w:rPr>
      </w:pPr>
      <w:r>
        <w:rPr>
          <w:color w:val="6E6158"/>
        </w:rPr>
        <w:t>J.D., University of the Pacific, McGeorge School of </w:t>
      </w:r>
      <w:r>
        <w:rPr>
          <w:color w:val="6E6158"/>
        </w:rPr>
        <w:t>Law</w:t>
      </w:r>
      <w:r>
        <w:rPr>
          <w:color w:val="6E6158"/>
        </w:rPr>
        <w:t> B.A., University of Santa Barbara, </w:t>
      </w:r>
      <w:r>
        <w:rPr>
          <w:i/>
          <w:color w:val="6E6158"/>
          <w:sz w:val="20"/>
        </w:rPr>
        <w:t>magna cum laude</w:t>
      </w:r>
    </w:p>
    <w:p>
      <w:pPr>
        <w:spacing w:before="284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</w:pPr>
      <w:r>
        <w:rPr>
          <w:color w:val="6E6158"/>
        </w:rPr>
        <w:t>OTHER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32"/>
        <w:ind w:left="0"/>
        <w:rPr>
          <w:b/>
        </w:rPr>
      </w:pPr>
    </w:p>
    <w:p>
      <w:pPr>
        <w:pStyle w:val="BodyText"/>
        <w:spacing w:line="420" w:lineRule="auto"/>
        <w:ind w:right="2286"/>
      </w:pPr>
      <w:r>
        <w:rPr>
          <w:color w:val="6E6158"/>
        </w:rPr>
        <w:t>Estate and Generational Planning with Emphasis on Business </w:t>
      </w:r>
      <w:r>
        <w:rPr>
          <w:color w:val="6E6158"/>
        </w:rPr>
        <w:t>Owners Mergers, Acquisitions and Business Sales</w:t>
      </w:r>
    </w:p>
    <w:p>
      <w:pPr>
        <w:pStyle w:val="BodyText"/>
        <w:spacing w:line="422" w:lineRule="auto"/>
        <w:ind w:right="3917"/>
      </w:pPr>
      <w:r>
        <w:rPr>
          <w:color w:val="6E6158"/>
        </w:rPr>
        <w:t>Partnership, LLC, Corporation and Business Entities Medical, Legal and Accounting Professional </w:t>
      </w:r>
      <w:r>
        <w:rPr>
          <w:color w:val="6E6158"/>
        </w:rPr>
        <w:t>Entities Agricultural and Ranch Law</w:t>
      </w:r>
    </w:p>
    <w:p>
      <w:pPr>
        <w:pStyle w:val="BodyText"/>
        <w:spacing w:line="232" w:lineRule="exact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Controversies</w:t>
      </w:r>
    </w:p>
    <w:p>
      <w:pPr>
        <w:pStyle w:val="BodyText"/>
        <w:spacing w:before="181"/>
      </w:pPr>
      <w:r>
        <w:rPr>
          <w:color w:val="6E6158"/>
        </w:rPr>
        <w:t>General</w:t>
      </w:r>
      <w:r>
        <w:rPr>
          <w:color w:val="6E6158"/>
          <w:spacing w:val="12"/>
        </w:rPr>
        <w:t> </w:t>
      </w:r>
      <w:r>
        <w:rPr>
          <w:color w:val="6E6158"/>
        </w:rPr>
        <w:t>Counsel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Private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Businesses</w:t>
      </w:r>
    </w:p>
    <w:p>
      <w:pPr>
        <w:pStyle w:val="BodyText"/>
        <w:spacing w:before="63"/>
        <w:ind w:left="0"/>
      </w:pPr>
    </w:p>
    <w:p>
      <w:pPr>
        <w:pStyle w:val="BodyText"/>
        <w:spacing w:line="420" w:lineRule="auto"/>
        <w:ind w:right="6833"/>
      </w:pPr>
      <w:r>
        <w:rPr>
          <w:color w:val="6E6158"/>
        </w:rPr>
        <w:t>Business &amp; Finance Mergers &amp; </w:t>
      </w:r>
      <w:r>
        <w:rPr>
          <w:color w:val="6E6158"/>
        </w:rPr>
        <w:t>Acquisitions Real Estate</w:t>
      </w:r>
    </w:p>
    <w:p>
      <w:pPr>
        <w:pStyle w:val="BodyText"/>
        <w:spacing w:before="6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74"/>
        <w:ind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line="231" w:lineRule="exact"/>
      </w:pP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Services</w:t>
      </w:r>
    </w:p>
    <w:p>
      <w:pPr>
        <w:pStyle w:val="BodyText"/>
        <w:spacing w:before="170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-4"/>
          <w:sz w:val="19"/>
        </w:rPr>
        <w:t> 2027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2026-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2286"/>
      </w:pPr>
      <w:r>
        <w:rPr>
          <w:color w:val="6E6158"/>
        </w:rPr>
        <w:t>Adjunct Professor, University of the Pacific, McGeorge School of </w:t>
      </w:r>
      <w:r>
        <w:rPr>
          <w:color w:val="6E6158"/>
        </w:rPr>
        <w:t>Law Adjunct Professor, Golden Gate University</w:t>
      </w:r>
    </w:p>
    <w:p>
      <w:pPr>
        <w:pStyle w:val="BodyText"/>
        <w:spacing w:line="226" w:lineRule="exact"/>
      </w:pPr>
      <w:r>
        <w:rPr>
          <w:color w:val="6E6158"/>
        </w:rPr>
        <w:t>Phi</w:t>
      </w:r>
      <w:r>
        <w:rPr>
          <w:color w:val="6E6158"/>
          <w:spacing w:val="7"/>
        </w:rPr>
        <w:t> </w:t>
      </w:r>
      <w:r>
        <w:rPr>
          <w:color w:val="6E6158"/>
        </w:rPr>
        <w:t>Beta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Kappa</w:t>
      </w:r>
    </w:p>
    <w:p>
      <w:pPr>
        <w:pStyle w:val="BodyText"/>
        <w:spacing w:before="174"/>
      </w:pPr>
      <w:r>
        <w:rPr>
          <w:color w:val="6E6158"/>
        </w:rPr>
        <w:t>Member,</w:t>
      </w:r>
      <w:r>
        <w:rPr>
          <w:color w:val="6E6158"/>
          <w:spacing w:val="5"/>
        </w:rPr>
        <w:t> </w:t>
      </w:r>
      <w:r>
        <w:rPr>
          <w:color w:val="6E6158"/>
        </w:rPr>
        <w:t>Traynor</w:t>
      </w:r>
      <w:r>
        <w:rPr>
          <w:color w:val="6E6158"/>
          <w:spacing w:val="6"/>
        </w:rPr>
        <w:t> </w:t>
      </w:r>
      <w:r>
        <w:rPr>
          <w:color w:val="6E6158"/>
        </w:rPr>
        <w:t>Honor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Society</w:t>
      </w:r>
    </w:p>
    <w:p>
      <w:pPr>
        <w:pStyle w:val="BodyText"/>
        <w:spacing w:line="427" w:lineRule="auto" w:before="174"/>
        <w:ind w:right="4519"/>
      </w:pPr>
      <w:r>
        <w:rPr>
          <w:color w:val="6E6158"/>
        </w:rPr>
        <w:t>Member, Sacramento County Bar </w:t>
      </w:r>
      <w:r>
        <w:rPr>
          <w:color w:val="6E6158"/>
        </w:rPr>
        <w:t>Association Member, American Bar Association</w:t>
      </w:r>
    </w:p>
    <w:p>
      <w:pPr>
        <w:pStyle w:val="BodyText"/>
        <w:spacing w:line="226" w:lineRule="exact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line="420" w:lineRule="auto" w:before="174"/>
        <w:ind w:right="451"/>
      </w:pPr>
      <w:r>
        <w:rPr>
          <w:color w:val="6E6158"/>
        </w:rPr>
        <w:t>Former Vice Chairman, Executive Committee on Taxation for the State Bar of California</w:t>
      </w:r>
      <w:r>
        <w:rPr>
          <w:color w:val="6E6158"/>
          <w:spacing w:val="40"/>
        </w:rPr>
        <w:t> </w:t>
      </w:r>
      <w:r>
        <w:rPr>
          <w:color w:val="6E6158"/>
        </w:rPr>
        <w:t>Member, Society of California Accountants</w:t>
      </w:r>
    </w:p>
    <w:p>
      <w:pPr>
        <w:pStyle w:val="BodyText"/>
        <w:spacing w:before="6"/>
      </w:pP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Sacramento</w:t>
      </w:r>
      <w:r>
        <w:rPr>
          <w:color w:val="6E6158"/>
          <w:spacing w:val="13"/>
        </w:rPr>
        <w:t> </w:t>
      </w:r>
      <w:r>
        <w:rPr>
          <w:color w:val="6E6158"/>
        </w:rPr>
        <w:t>County</w:t>
      </w:r>
      <w:r>
        <w:rPr>
          <w:color w:val="6E6158"/>
          <w:spacing w:val="12"/>
        </w:rPr>
        <w:t> </w:t>
      </w:r>
      <w:r>
        <w:rPr>
          <w:color w:val="6E6158"/>
        </w:rPr>
        <w:t>Farm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Bureau</w:t>
      </w:r>
    </w:p>
    <w:p>
      <w:pPr>
        <w:pStyle w:val="BodyText"/>
        <w:spacing w:before="174"/>
      </w:pPr>
      <w:r>
        <w:rPr>
          <w:color w:val="6E6158"/>
        </w:rPr>
        <w:t>Former</w:t>
      </w:r>
      <w:r>
        <w:rPr>
          <w:color w:val="6E6158"/>
          <w:spacing w:val="11"/>
        </w:rPr>
        <w:t> </w:t>
      </w:r>
      <w:r>
        <w:rPr>
          <w:color w:val="6E6158"/>
        </w:rPr>
        <w:t>Member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Editor,</w:t>
      </w:r>
      <w:r>
        <w:rPr>
          <w:color w:val="6E6158"/>
          <w:spacing w:val="11"/>
        </w:rPr>
        <w:t> </w:t>
      </w:r>
      <w:r>
        <w:rPr>
          <w:color w:val="6E6158"/>
        </w:rPr>
        <w:t>McGeorge</w:t>
      </w:r>
      <w:r>
        <w:rPr>
          <w:color w:val="6E6158"/>
          <w:spacing w:val="12"/>
        </w:rPr>
        <w:t> </w:t>
      </w:r>
      <w:r>
        <w:rPr>
          <w:color w:val="6E6158"/>
        </w:rPr>
        <w:t>Pacific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Journal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Heading2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Key considerations and legal requirements when buying and selling boomer-</w:t>
        </w:r>
        <w:r>
          <w:rPr>
            <w:color w:val="F5821F"/>
          </w:rPr>
          <w:t>owned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businesses</w:t>
        </w:r>
      </w:hyperlink>
      <w:r>
        <w:rPr>
          <w:color w:val="6E6158"/>
        </w:rPr>
        <w:t>,” Sacramento Business Journal, August 9, 2024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4519"/>
      </w:pPr>
      <w:r>
        <w:rPr>
          <w:color w:val="6E6158"/>
        </w:rPr>
        <w:t>California Certified Specialist, Taxation </w:t>
      </w:r>
      <w:r>
        <w:rPr>
          <w:color w:val="6E6158"/>
        </w:rPr>
        <w:t>Law Supreme Court State of California</w:t>
      </w:r>
    </w:p>
    <w:p>
      <w:pPr>
        <w:pStyle w:val="BodyText"/>
        <w:spacing w:line="231" w:lineRule="exact"/>
      </w:pPr>
      <w:r>
        <w:rPr>
          <w:color w:val="6E6158"/>
        </w:rPr>
        <w:t>U.S.</w:t>
      </w:r>
      <w:r>
        <w:rPr>
          <w:color w:val="6E6158"/>
          <w:spacing w:val="1"/>
        </w:rPr>
        <w:t> </w:t>
      </w:r>
      <w:r>
        <w:rPr>
          <w:color w:val="6E6158"/>
        </w:rPr>
        <w:t>Tax</w:t>
      </w:r>
      <w:r>
        <w:rPr>
          <w:color w:val="6E6158"/>
          <w:spacing w:val="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7th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9th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9"/>
      <w:ind w:left="99"/>
      <w:outlineLvl w:val="1"/>
    </w:pPr>
    <w:rPr>
      <w:rFonts w:ascii="Century Gothic" w:hAnsi="Century Gothic" w:eastAsia="Century Gothic" w:cs="Century Gothic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sacramento/" TargetMode="External"/><Relationship Id="rId10" Type="http://schemas.openxmlformats.org/officeDocument/2006/relationships/hyperlink" Target="mailto:bwagner@fennemorelaw.com" TargetMode="External"/><Relationship Id="rId11" Type="http://schemas.openxmlformats.org/officeDocument/2006/relationships/hyperlink" Target="https://www.bizjournals.com/sacramento/news/2024/08/09/buying-selling-boomer-owned-businesses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Belan K. Wagner - Fennemore</dc:title>
  <dcterms:created xsi:type="dcterms:W3CDTF">2026-09-03T23:14:39Z</dcterms:created>
  <dcterms:modified xsi:type="dcterms:W3CDTF">2026-09-03T23:14:39Z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