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Brian Nadler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BRIAN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NADLER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Seattle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206.822.6811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206.749.0600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bnadler@fennemorelaw.com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Brian Nadler bio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77;top:2156;width:2784;height:505" id="docshape5" coordorigin="5778,2156" coordsize="2784,505" path="m8561,2653l5778,2653,5778,2661,8561,2661,8561,2653xm8561,2156l5778,2156,5778,2165,8561,2165,8561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BRIAN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NADLER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Seattle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206.822.6811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206.749.0600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bnadler@fennemorelaw.com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BRIAN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NADLER</w:t>
      </w:r>
    </w:p>
    <w:p>
      <w:pPr>
        <w:pStyle w:val="BodyText"/>
        <w:spacing w:line="297" w:lineRule="auto" w:before="147"/>
        <w:ind w:right="730"/>
      </w:pPr>
      <w:r>
        <w:rPr>
          <w:color w:val="6E6158"/>
        </w:rPr>
        <w:t>Brian Nadler is an attorney based in Fennemore’s Seattle office who represents businesses and</w:t>
      </w:r>
      <w:r>
        <w:rPr>
          <w:color w:val="6E6158"/>
          <w:spacing w:val="40"/>
        </w:rPr>
        <w:t> </w:t>
      </w:r>
      <w:r>
        <w:rPr>
          <w:color w:val="6E6158"/>
        </w:rPr>
        <w:t>other clients in commercial litigation and advises on appeals and appellate strategy. His</w:t>
      </w:r>
      <w:r>
        <w:rPr>
          <w:color w:val="6E6158"/>
          <w:spacing w:val="40"/>
        </w:rPr>
        <w:t> </w:t>
      </w:r>
      <w:r>
        <w:rPr>
          <w:color w:val="6E6158"/>
        </w:rPr>
        <w:t>practice</w:t>
      </w:r>
      <w:r>
        <w:rPr>
          <w:color w:val="6E6158"/>
          <w:spacing w:val="39"/>
        </w:rPr>
        <w:t> </w:t>
      </w:r>
      <w:r>
        <w:rPr>
          <w:color w:val="6E6158"/>
        </w:rPr>
        <w:t>spans</w:t>
      </w:r>
      <w:r>
        <w:rPr>
          <w:color w:val="6E6158"/>
          <w:spacing w:val="39"/>
        </w:rPr>
        <w:t> </w:t>
      </w:r>
      <w:r>
        <w:rPr>
          <w:color w:val="6E6158"/>
        </w:rPr>
        <w:t>the</w:t>
      </w:r>
      <w:r>
        <w:rPr>
          <w:color w:val="6E6158"/>
          <w:spacing w:val="39"/>
        </w:rPr>
        <w:t> </w:t>
      </w:r>
      <w:r>
        <w:rPr>
          <w:color w:val="6E6158"/>
        </w:rPr>
        <w:t>full</w:t>
      </w:r>
      <w:r>
        <w:rPr>
          <w:color w:val="6E6158"/>
          <w:spacing w:val="39"/>
        </w:rPr>
        <w:t> </w:t>
      </w:r>
      <w:r>
        <w:rPr>
          <w:color w:val="6E6158"/>
        </w:rPr>
        <w:t>litigation</w:t>
      </w:r>
      <w:r>
        <w:rPr>
          <w:color w:val="6E6158"/>
          <w:spacing w:val="39"/>
        </w:rPr>
        <w:t> </w:t>
      </w:r>
      <w:r>
        <w:rPr>
          <w:color w:val="6E6158"/>
        </w:rPr>
        <w:t>lifecycle,</w:t>
      </w:r>
      <w:r>
        <w:rPr>
          <w:color w:val="6E6158"/>
          <w:spacing w:val="39"/>
        </w:rPr>
        <w:t> </w:t>
      </w:r>
      <w:r>
        <w:rPr>
          <w:color w:val="6E6158"/>
        </w:rPr>
        <w:t>including</w:t>
      </w:r>
      <w:r>
        <w:rPr>
          <w:color w:val="6E6158"/>
          <w:spacing w:val="39"/>
        </w:rPr>
        <w:t> </w:t>
      </w:r>
      <w:r>
        <w:rPr>
          <w:color w:val="6E6158"/>
        </w:rPr>
        <w:t>pleadings,</w:t>
      </w:r>
      <w:r>
        <w:rPr>
          <w:color w:val="6E6158"/>
          <w:spacing w:val="39"/>
        </w:rPr>
        <w:t> </w:t>
      </w:r>
      <w:r>
        <w:rPr>
          <w:color w:val="6E6158"/>
        </w:rPr>
        <w:t>discovery,</w:t>
      </w:r>
      <w:r>
        <w:rPr>
          <w:color w:val="6E6158"/>
          <w:spacing w:val="39"/>
        </w:rPr>
        <w:t> </w:t>
      </w:r>
      <w:r>
        <w:rPr>
          <w:color w:val="6E6158"/>
        </w:rPr>
        <w:t>dispositive</w:t>
      </w:r>
      <w:r>
        <w:rPr>
          <w:color w:val="6E6158"/>
          <w:spacing w:val="39"/>
        </w:rPr>
        <w:t> </w:t>
      </w:r>
      <w:r>
        <w:rPr>
          <w:color w:val="6E6158"/>
        </w:rPr>
        <w:t>motions,</w:t>
      </w:r>
    </w:p>
    <w:p>
      <w:pPr>
        <w:pStyle w:val="BodyText"/>
        <w:spacing w:line="297" w:lineRule="auto"/>
        <w:ind w:right="730"/>
      </w:pPr>
      <w:r>
        <w:rPr>
          <w:color w:val="6E6158"/>
        </w:rPr>
        <w:t>settlement negotiations, appellate briefing, and oral argument. Brian handles complex disputes</w:t>
      </w:r>
      <w:r>
        <w:rPr>
          <w:color w:val="6E6158"/>
          <w:spacing w:val="40"/>
        </w:rPr>
        <w:t> </w:t>
      </w:r>
      <w:r>
        <w:rPr>
          <w:color w:val="6E6158"/>
        </w:rPr>
        <w:t>involving commercial and construction law, environmental liability, easements, defamation, </w:t>
      </w:r>
      <w:r>
        <w:rPr>
          <w:color w:val="6E6158"/>
        </w:rPr>
        <w:t>civil</w:t>
      </w:r>
      <w:r>
        <w:rPr>
          <w:color w:val="6E6158"/>
          <w:spacing w:val="40"/>
        </w:rPr>
        <w:t> </w:t>
      </w:r>
      <w:r>
        <w:rPr>
          <w:color w:val="6E6158"/>
        </w:rPr>
        <w:t>contempt, and products liability.</w:t>
      </w:r>
    </w:p>
    <w:p>
      <w:pPr>
        <w:pStyle w:val="BodyText"/>
        <w:spacing w:line="295" w:lineRule="auto" w:before="187"/>
        <w:ind w:right="533"/>
      </w:pPr>
      <w:r>
        <w:rPr>
          <w:color w:val="6E6158"/>
        </w:rPr>
        <w:t>Brian has extensive appellate experience in Washington state and federal courts. He has </w:t>
      </w:r>
      <w:r>
        <w:rPr>
          <w:color w:val="6E6158"/>
        </w:rPr>
        <w:t>briefed</w:t>
      </w:r>
      <w:r>
        <w:rPr>
          <w:color w:val="6E6158"/>
          <w:spacing w:val="40"/>
        </w:rPr>
        <w:t> </w:t>
      </w:r>
      <w:r>
        <w:rPr>
          <w:color w:val="6E6158"/>
        </w:rPr>
        <w:t>matters before state and federal appellate courts and presented oral argument before the</w:t>
      </w:r>
      <w:r>
        <w:rPr>
          <w:color w:val="6E6158"/>
          <w:spacing w:val="40"/>
        </w:rPr>
        <w:t> </w:t>
      </w:r>
      <w:r>
        <w:rPr>
          <w:color w:val="6E6158"/>
        </w:rPr>
        <w:t>Washington Court of Appeals and the U.S. Court of Appeals for the Ninth Circuit. His appellate</w:t>
      </w:r>
      <w:r>
        <w:rPr>
          <w:color w:val="6E6158"/>
          <w:spacing w:val="40"/>
        </w:rPr>
        <w:t> </w:t>
      </w:r>
      <w:r>
        <w:rPr>
          <w:color w:val="6E6158"/>
        </w:rPr>
        <w:t>practice includes representing litigants in appeals and preparing amicus briefs on behalf of</w:t>
      </w:r>
      <w:r>
        <w:rPr>
          <w:color w:val="6E6158"/>
          <w:spacing w:val="40"/>
        </w:rPr>
        <w:t> </w:t>
      </w:r>
      <w:r>
        <w:rPr>
          <w:color w:val="6E6158"/>
        </w:rPr>
        <w:t>construction-industry</w:t>
      </w:r>
      <w:r>
        <w:rPr>
          <w:color w:val="6E6158"/>
          <w:spacing w:val="40"/>
        </w:rPr>
        <w:t> </w:t>
      </w:r>
      <w:r>
        <w:rPr>
          <w:color w:val="6E6158"/>
        </w:rPr>
        <w:t>organizations,</w:t>
      </w:r>
      <w:r>
        <w:rPr>
          <w:color w:val="6E6158"/>
          <w:spacing w:val="40"/>
        </w:rPr>
        <w:t> </w:t>
      </w:r>
      <w:r>
        <w:rPr>
          <w:color w:val="6E6158"/>
        </w:rPr>
        <w:t>including</w:t>
      </w:r>
      <w:r>
        <w:rPr>
          <w:color w:val="6E6158"/>
          <w:spacing w:val="40"/>
        </w:rPr>
        <w:t> </w:t>
      </w:r>
      <w:r>
        <w:rPr>
          <w:color w:val="6E6158"/>
        </w:rPr>
        <w:t>Associated</w:t>
      </w:r>
      <w:r>
        <w:rPr>
          <w:color w:val="6E6158"/>
          <w:spacing w:val="40"/>
        </w:rPr>
        <w:t> </w:t>
      </w:r>
      <w:r>
        <w:rPr>
          <w:color w:val="6E6158"/>
        </w:rPr>
        <w:t>General</w:t>
      </w:r>
      <w:r>
        <w:rPr>
          <w:color w:val="6E6158"/>
          <w:spacing w:val="40"/>
        </w:rPr>
        <w:t> </w:t>
      </w:r>
      <w:r>
        <w:rPr>
          <w:color w:val="6E6158"/>
        </w:rPr>
        <w:t>Contractors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Washington, the Mechanical Contractors Association of Western Washington, and the National Utility Contractors Association of Washington.</w:t>
      </w:r>
    </w:p>
    <w:p>
      <w:pPr>
        <w:pStyle w:val="BodyText"/>
        <w:spacing w:line="295" w:lineRule="auto" w:before="200"/>
        <w:ind w:right="533"/>
      </w:pPr>
      <w:r>
        <w:rPr>
          <w:color w:val="6E6158"/>
        </w:rPr>
        <w:t>Brian’s appellate experience includes matters involving Washington contractor and </w:t>
      </w:r>
      <w:r>
        <w:rPr>
          <w:color w:val="6E6158"/>
        </w:rPr>
        <w:t>commercial</w:t>
      </w:r>
      <w:r>
        <w:rPr>
          <w:color w:val="6E6158"/>
          <w:spacing w:val="40"/>
        </w:rPr>
        <w:t> </w:t>
      </w:r>
      <w:r>
        <w:rPr>
          <w:color w:val="6E6158"/>
        </w:rPr>
        <w:t>law, construction disputes, environmental liability, easements, defamation, civil contempt, and</w:t>
      </w:r>
      <w:r>
        <w:rPr>
          <w:color w:val="6E6158"/>
          <w:spacing w:val="40"/>
        </w:rPr>
        <w:t> </w:t>
      </w:r>
      <w:r>
        <w:rPr>
          <w:color w:val="6E6158"/>
        </w:rPr>
        <w:t>products liability. His selected results include reversing an adverse easement ruling and affirming</w:t>
      </w:r>
      <w:r>
        <w:rPr>
          <w:color w:val="6E6158"/>
          <w:spacing w:val="40"/>
        </w:rPr>
        <w:t> </w:t>
      </w:r>
      <w:r>
        <w:rPr>
          <w:color w:val="6E6158"/>
        </w:rPr>
        <w:t>the dismissal of prescriptive easement and defamation claims.</w:t>
      </w:r>
    </w:p>
    <w:p>
      <w:pPr>
        <w:pStyle w:val="BodyText"/>
        <w:spacing w:line="297" w:lineRule="auto" w:before="196"/>
        <w:ind w:right="533"/>
      </w:pPr>
      <w:r>
        <w:rPr>
          <w:color w:val="6E6158"/>
        </w:rPr>
        <w:t>Before entering private practice, Brian served as a law clerk to the Honorable Thomas O. Rice of</w:t>
      </w:r>
      <w:r>
        <w:rPr>
          <w:color w:val="6E6158"/>
          <w:spacing w:val="40"/>
        </w:rPr>
        <w:t> </w:t>
      </w:r>
      <w:r>
        <w:rPr>
          <w:color w:val="6E6158"/>
        </w:rPr>
        <w:t>the U.S. District Court for the Eastern District of Washington. His judicial experience provides</w:t>
      </w:r>
      <w:r>
        <w:rPr>
          <w:color w:val="6E6158"/>
          <w:spacing w:val="40"/>
        </w:rPr>
        <w:t> </w:t>
      </w:r>
      <w:r>
        <w:rPr>
          <w:color w:val="6E6158"/>
        </w:rPr>
        <w:t>additional</w:t>
      </w:r>
      <w:r>
        <w:rPr>
          <w:color w:val="6E6158"/>
          <w:spacing w:val="40"/>
        </w:rPr>
        <w:t> </w:t>
      </w:r>
      <w:r>
        <w:rPr>
          <w:color w:val="6E6158"/>
        </w:rPr>
        <w:t>perspective</w:t>
      </w:r>
      <w:r>
        <w:rPr>
          <w:color w:val="6E6158"/>
          <w:spacing w:val="40"/>
        </w:rPr>
        <w:t> </w:t>
      </w:r>
      <w:r>
        <w:rPr>
          <w:color w:val="6E6158"/>
        </w:rPr>
        <w:t>on</w:t>
      </w:r>
      <w:r>
        <w:rPr>
          <w:color w:val="6E6158"/>
          <w:spacing w:val="40"/>
        </w:rPr>
        <w:t> </w:t>
      </w:r>
      <w:r>
        <w:rPr>
          <w:color w:val="6E6158"/>
        </w:rPr>
        <w:t>federal</w:t>
      </w:r>
      <w:r>
        <w:rPr>
          <w:color w:val="6E6158"/>
          <w:spacing w:val="40"/>
        </w:rPr>
        <w:t> </w:t>
      </w:r>
      <w:r>
        <w:rPr>
          <w:color w:val="6E6158"/>
        </w:rPr>
        <w:t>litigation,</w:t>
      </w:r>
      <w:r>
        <w:rPr>
          <w:color w:val="6E6158"/>
          <w:spacing w:val="40"/>
        </w:rPr>
        <w:t> </w:t>
      </w:r>
      <w:r>
        <w:rPr>
          <w:color w:val="6E6158"/>
        </w:rPr>
        <w:t>legal</w:t>
      </w:r>
      <w:r>
        <w:rPr>
          <w:color w:val="6E6158"/>
          <w:spacing w:val="40"/>
        </w:rPr>
        <w:t> </w:t>
      </w:r>
      <w:r>
        <w:rPr>
          <w:color w:val="6E6158"/>
        </w:rPr>
        <w:t>analysis,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appellate</w:t>
      </w:r>
      <w:r>
        <w:rPr>
          <w:color w:val="6E6158"/>
          <w:spacing w:val="40"/>
        </w:rPr>
        <w:t> </w:t>
      </w:r>
      <w:r>
        <w:rPr>
          <w:color w:val="6E6158"/>
        </w:rPr>
        <w:t>advocacy.</w:t>
      </w:r>
    </w:p>
    <w:p>
      <w:pPr>
        <w:pStyle w:val="BodyText"/>
        <w:spacing w:line="292" w:lineRule="auto" w:before="191"/>
        <w:ind w:right="533"/>
      </w:pPr>
      <w:r>
        <w:rPr>
          <w:color w:val="6E6158"/>
        </w:rPr>
        <w:t>Outside the office, Brian enjoys staying connected to his California roots by cheering for the</w:t>
      </w:r>
      <w:r>
        <w:rPr>
          <w:color w:val="6E6158"/>
          <w:spacing w:val="40"/>
        </w:rPr>
        <w:t> </w:t>
      </w:r>
      <w:r>
        <w:rPr>
          <w:color w:val="6E6158"/>
        </w:rPr>
        <w:t>Sacramento</w:t>
      </w:r>
      <w:r>
        <w:rPr>
          <w:color w:val="6E6158"/>
          <w:spacing w:val="12"/>
        </w:rPr>
        <w:t> </w:t>
      </w:r>
      <w:r>
        <w:rPr>
          <w:color w:val="6E6158"/>
        </w:rPr>
        <w:t>Kings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San</w:t>
      </w:r>
      <w:r>
        <w:rPr>
          <w:color w:val="6E6158"/>
          <w:spacing w:val="13"/>
        </w:rPr>
        <w:t> </w:t>
      </w:r>
      <w:r>
        <w:rPr>
          <w:color w:val="6E6158"/>
        </w:rPr>
        <w:t>Francisco</w:t>
      </w:r>
      <w:r>
        <w:rPr>
          <w:color w:val="6E6158"/>
          <w:spacing w:val="13"/>
        </w:rPr>
        <w:t> </w:t>
      </w:r>
      <w:r>
        <w:rPr>
          <w:color w:val="6E6158"/>
        </w:rPr>
        <w:t>49ers.</w:t>
      </w:r>
      <w:r>
        <w:rPr>
          <w:color w:val="6E6158"/>
          <w:spacing w:val="12"/>
        </w:rPr>
        <w:t> </w:t>
      </w:r>
      <w:r>
        <w:rPr>
          <w:color w:val="6E6158"/>
        </w:rPr>
        <w:t>He</w:t>
      </w:r>
      <w:r>
        <w:rPr>
          <w:color w:val="6E6158"/>
          <w:spacing w:val="13"/>
        </w:rPr>
        <w:t> </w:t>
      </w:r>
      <w:r>
        <w:rPr>
          <w:color w:val="6E6158"/>
        </w:rPr>
        <w:t>also</w:t>
      </w:r>
      <w:r>
        <w:rPr>
          <w:color w:val="6E6158"/>
          <w:spacing w:val="12"/>
        </w:rPr>
        <w:t> </w:t>
      </w:r>
      <w:r>
        <w:rPr>
          <w:color w:val="6E6158"/>
        </w:rPr>
        <w:t>enjoys</w:t>
      </w:r>
      <w:r>
        <w:rPr>
          <w:color w:val="6E6158"/>
          <w:spacing w:val="13"/>
        </w:rPr>
        <w:t> </w:t>
      </w:r>
      <w:r>
        <w:rPr>
          <w:color w:val="6E6158"/>
        </w:rPr>
        <w:t>competing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triathlons,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spending</w:t>
      </w:r>
    </w:p>
    <w:p>
      <w:pPr>
        <w:pStyle w:val="BodyText"/>
        <w:spacing w:before="2"/>
      </w:pPr>
      <w:r>
        <w:rPr>
          <w:color w:val="6E6158"/>
        </w:rPr>
        <w:t>time</w:t>
      </w:r>
      <w:r>
        <w:rPr>
          <w:color w:val="6E6158"/>
          <w:spacing w:val="10"/>
        </w:rPr>
        <w:t> </w:t>
      </w:r>
      <w:r>
        <w:rPr>
          <w:color w:val="6E6158"/>
        </w:rPr>
        <w:t>outdoors</w:t>
      </w:r>
      <w:r>
        <w:rPr>
          <w:color w:val="6E6158"/>
          <w:spacing w:val="11"/>
        </w:rPr>
        <w:t> </w:t>
      </w:r>
      <w:r>
        <w:rPr>
          <w:color w:val="6E6158"/>
        </w:rPr>
        <w:t>with</w:t>
      </w:r>
      <w:r>
        <w:rPr>
          <w:color w:val="6E6158"/>
          <w:spacing w:val="11"/>
        </w:rPr>
        <w:t> </w:t>
      </w:r>
      <w:r>
        <w:rPr>
          <w:color w:val="6E6158"/>
        </w:rPr>
        <w:t>his</w:t>
      </w:r>
      <w:r>
        <w:rPr>
          <w:color w:val="6E6158"/>
          <w:spacing w:val="11"/>
        </w:rPr>
        <w:t> </w:t>
      </w:r>
      <w:r>
        <w:rPr>
          <w:color w:val="6E6158"/>
        </w:rPr>
        <w:t>wife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son,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raising</w:t>
      </w:r>
      <w:r>
        <w:rPr>
          <w:color w:val="6E6158"/>
          <w:spacing w:val="11"/>
        </w:rPr>
        <w:t> </w:t>
      </w:r>
      <w:r>
        <w:rPr>
          <w:color w:val="6E6158"/>
        </w:rPr>
        <w:t>their</w:t>
      </w:r>
      <w:r>
        <w:rPr>
          <w:color w:val="6E6158"/>
          <w:spacing w:val="10"/>
        </w:rPr>
        <w:t> </w:t>
      </w:r>
      <w:r>
        <w:rPr>
          <w:color w:val="6E6158"/>
        </w:rPr>
        <w:t>two</w:t>
      </w:r>
      <w:r>
        <w:rPr>
          <w:color w:val="6E6158"/>
          <w:spacing w:val="11"/>
        </w:rPr>
        <w:t> </w:t>
      </w:r>
      <w:r>
        <w:rPr>
          <w:color w:val="6E6158"/>
        </w:rPr>
        <w:t>Australian</w:t>
      </w:r>
      <w:r>
        <w:rPr>
          <w:color w:val="6E6158"/>
          <w:spacing w:val="11"/>
        </w:rPr>
        <w:t> </w:t>
      </w:r>
      <w:r>
        <w:rPr>
          <w:color w:val="6E6158"/>
        </w:rPr>
        <w:t>Shepherds,</w:t>
      </w:r>
      <w:r>
        <w:rPr>
          <w:color w:val="6E6158"/>
          <w:spacing w:val="11"/>
        </w:rPr>
        <w:t> </w:t>
      </w:r>
      <w:r>
        <w:rPr>
          <w:color w:val="6E6158"/>
        </w:rPr>
        <w:t>Sierra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Bran.</w:t>
      </w:r>
    </w:p>
    <w:p>
      <w:pPr>
        <w:pStyle w:val="Heading1"/>
        <w:spacing w:before="221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05" w:lineRule="auto"/>
        <w:ind w:left="343" w:right="5869" w:hanging="245"/>
      </w:pPr>
      <w:r>
        <w:rPr>
          <w:color w:val="6E6158"/>
        </w:rPr>
        <w:t>J.D., Gonzaga University School of Law Editor-in-Chief, Gonzaga Law </w:t>
      </w:r>
      <w:r>
        <w:rPr>
          <w:color w:val="6E6158"/>
        </w:rPr>
        <w:t>Review</w:t>
      </w:r>
      <w:r>
        <w:rPr>
          <w:color w:val="6E6158"/>
        </w:rPr>
        <w:t> Captain, National Trial Team</w:t>
      </w:r>
    </w:p>
    <w:p>
      <w:pPr>
        <w:pStyle w:val="BodyText"/>
        <w:spacing w:before="16"/>
        <w:ind w:left="343"/>
      </w:pPr>
      <w:r>
        <w:rPr>
          <w:color w:val="6E6158"/>
        </w:rPr>
        <w:t>President,</w:t>
      </w:r>
      <w:r>
        <w:rPr>
          <w:color w:val="6E6158"/>
          <w:spacing w:val="13"/>
        </w:rPr>
        <w:t> </w:t>
      </w:r>
      <w:r>
        <w:rPr>
          <w:color w:val="6E6158"/>
        </w:rPr>
        <w:t>William</w:t>
      </w:r>
      <w:r>
        <w:rPr>
          <w:color w:val="6E6158"/>
          <w:spacing w:val="14"/>
        </w:rPr>
        <w:t> </w:t>
      </w:r>
      <w:r>
        <w:rPr>
          <w:color w:val="6E6158"/>
        </w:rPr>
        <w:t>O.</w:t>
      </w:r>
      <w:r>
        <w:rPr>
          <w:color w:val="6E6158"/>
          <w:spacing w:val="13"/>
        </w:rPr>
        <w:t> </w:t>
      </w:r>
      <w:r>
        <w:rPr>
          <w:color w:val="6E6158"/>
        </w:rPr>
        <w:t>Douglas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Committee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  <w:ind w:left="343"/>
      </w:pPr>
      <w:r>
        <w:rPr>
          <w:color w:val="6E6158"/>
        </w:rPr>
        <w:t>Moot</w:t>
      </w:r>
      <w:r>
        <w:rPr>
          <w:color w:val="6E6158"/>
          <w:spacing w:val="11"/>
        </w:rPr>
        <w:t> </w:t>
      </w:r>
      <w:r>
        <w:rPr>
          <w:color w:val="6E6158"/>
        </w:rPr>
        <w:t>Court</w:t>
      </w:r>
      <w:r>
        <w:rPr>
          <w:color w:val="6E6158"/>
          <w:spacing w:val="12"/>
        </w:rPr>
        <w:t> </w:t>
      </w:r>
      <w:r>
        <w:rPr>
          <w:color w:val="6E6158"/>
        </w:rPr>
        <w:t>Honors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Council</w:t>
      </w:r>
    </w:p>
    <w:p>
      <w:pPr>
        <w:pStyle w:val="BodyText"/>
        <w:spacing w:before="174"/>
      </w:pPr>
      <w:r>
        <w:rPr>
          <w:color w:val="6E6158"/>
        </w:rPr>
        <w:t>B.A.,</w:t>
      </w:r>
      <w:r>
        <w:rPr>
          <w:color w:val="6E6158"/>
          <w:spacing w:val="15"/>
        </w:rPr>
        <w:t> </w:t>
      </w:r>
      <w:r>
        <w:rPr>
          <w:color w:val="6E6158"/>
        </w:rPr>
        <w:t>Claremont</w:t>
      </w:r>
      <w:r>
        <w:rPr>
          <w:color w:val="6E6158"/>
          <w:spacing w:val="16"/>
        </w:rPr>
        <w:t> </w:t>
      </w:r>
      <w:r>
        <w:rPr>
          <w:color w:val="6E6158"/>
        </w:rPr>
        <w:t>McKenna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College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7513"/>
      </w:pPr>
      <w:r>
        <w:rPr>
          <w:color w:val="6E6158"/>
        </w:rPr>
        <w:t>Business Litigation Construction Law Labor &amp; </w:t>
      </w:r>
      <w:r>
        <w:rPr>
          <w:color w:val="6E6158"/>
        </w:rPr>
        <w:t>Employment Appellate Litigation</w:t>
      </w:r>
    </w:p>
    <w:p>
      <w:pPr>
        <w:pStyle w:val="Heading1"/>
        <w:spacing w:before="288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5" w:lineRule="auto"/>
        <w:ind w:right="783"/>
      </w:pPr>
      <w:r>
        <w:rPr>
          <w:color w:val="6E6158"/>
        </w:rPr>
        <w:t>Dearinger v. Eli Lilly, 2026 WL 788866 (9th Cir. 2026) (argued): represented appellants as Ninth</w:t>
      </w:r>
      <w:r>
        <w:rPr>
          <w:color w:val="6E6158"/>
          <w:spacing w:val="40"/>
        </w:rPr>
        <w:t> </w:t>
      </w:r>
      <w:r>
        <w:rPr>
          <w:color w:val="6E6158"/>
        </w:rPr>
        <w:t>Circuit appointed pro bono counsel on complex pharmaceutical products liability case</w:t>
      </w:r>
      <w:r>
        <w:rPr>
          <w:color w:val="6E6158"/>
          <w:spacing w:val="40"/>
        </w:rPr>
        <w:t> </w:t>
      </w:r>
      <w:r>
        <w:rPr>
          <w:color w:val="6E6158"/>
        </w:rPr>
        <w:t>involving the trial court’s failure to follow procedural and substantive requirements in not</w:t>
      </w:r>
      <w:r>
        <w:rPr>
          <w:color w:val="6E6158"/>
          <w:spacing w:val="40"/>
        </w:rPr>
        <w:t> </w:t>
      </w:r>
      <w:r>
        <w:rPr>
          <w:color w:val="6E6158"/>
        </w:rPr>
        <w:t>requesting</w:t>
      </w:r>
      <w:r>
        <w:rPr>
          <w:color w:val="6E6158"/>
          <w:spacing w:val="20"/>
        </w:rPr>
        <w:t> </w:t>
      </w:r>
      <w:r>
        <w:rPr>
          <w:color w:val="6E6158"/>
        </w:rPr>
        <w:t>appointment</w:t>
      </w:r>
      <w:r>
        <w:rPr>
          <w:color w:val="6E6158"/>
          <w:spacing w:val="20"/>
        </w:rPr>
        <w:t> </w:t>
      </w:r>
      <w:r>
        <w:rPr>
          <w:color w:val="6E6158"/>
        </w:rPr>
        <w:t>of</w:t>
      </w:r>
      <w:r>
        <w:rPr>
          <w:color w:val="6E6158"/>
          <w:spacing w:val="20"/>
        </w:rPr>
        <w:t> </w:t>
      </w:r>
      <w:r>
        <w:rPr>
          <w:color w:val="6E6158"/>
        </w:rPr>
        <w:t>counsel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20"/>
        </w:rPr>
        <w:t> </w:t>
      </w:r>
      <w:r>
        <w:rPr>
          <w:color w:val="6E6158"/>
        </w:rPr>
        <w:t>properly</w:t>
      </w:r>
      <w:r>
        <w:rPr>
          <w:color w:val="6E6158"/>
          <w:spacing w:val="20"/>
        </w:rPr>
        <w:t> </w:t>
      </w:r>
      <w:r>
        <w:rPr>
          <w:color w:val="6E6158"/>
        </w:rPr>
        <w:t>applying</w:t>
      </w:r>
      <w:r>
        <w:rPr>
          <w:color w:val="6E6158"/>
          <w:spacing w:val="20"/>
        </w:rPr>
        <w:t> </w:t>
      </w:r>
      <w:r>
        <w:rPr>
          <w:color w:val="6E6158"/>
        </w:rPr>
        <w:t>the</w:t>
      </w:r>
      <w:r>
        <w:rPr>
          <w:color w:val="6E6158"/>
          <w:spacing w:val="20"/>
        </w:rPr>
        <w:t> </w:t>
      </w:r>
      <w:r>
        <w:rPr>
          <w:color w:val="6E6158"/>
        </w:rPr>
        <w:t>learned</w:t>
      </w:r>
      <w:r>
        <w:rPr>
          <w:color w:val="6E6158"/>
          <w:spacing w:val="20"/>
        </w:rPr>
        <w:t> </w:t>
      </w:r>
      <w:r>
        <w:rPr>
          <w:color w:val="6E6158"/>
        </w:rPr>
        <w:t>intermediary</w:t>
      </w:r>
      <w:r>
        <w:rPr>
          <w:color w:val="6E6158"/>
          <w:spacing w:val="20"/>
        </w:rPr>
        <w:t> </w:t>
      </w:r>
      <w:r>
        <w:rPr>
          <w:color w:val="6E6158"/>
        </w:rPr>
        <w:t>doctrine.</w:t>
      </w:r>
    </w:p>
    <w:p>
      <w:pPr>
        <w:pStyle w:val="BodyText"/>
        <w:spacing w:line="292" w:lineRule="auto" w:before="123"/>
        <w:ind w:right="542"/>
        <w:jc w:val="both"/>
      </w:pPr>
      <w:r>
        <w:rPr>
          <w:color w:val="6E6158"/>
        </w:rPr>
        <w:t>Port of Anacortes v. Frontier Indus., 9 Wn. App. 2d 885, 447 P.3d 215 (Div. 1 2019): drafted briefing successfully defending a challenge to what constitutes a hazardous substance under the </w:t>
      </w:r>
      <w:r>
        <w:rPr>
          <w:color w:val="6E6158"/>
        </w:rPr>
        <w:t>Model Toxics Control Act.</w:t>
      </w:r>
    </w:p>
    <w:p>
      <w:pPr>
        <w:pStyle w:val="BodyText"/>
        <w:spacing w:line="292" w:lineRule="auto" w:before="132"/>
        <w:ind w:right="552"/>
      </w:pPr>
      <w:r>
        <w:rPr>
          <w:color w:val="6E6158"/>
        </w:rPr>
        <w:t>Pellco v. Cornerstone General Contractors, 2021 WL 4523088 (Div. 1 2021) (unpublished): </w:t>
      </w:r>
      <w:r>
        <w:rPr>
          <w:color w:val="6E6158"/>
        </w:rPr>
        <w:t>drafted</w:t>
      </w:r>
      <w:r>
        <w:rPr>
          <w:color w:val="6E6158"/>
          <w:spacing w:val="40"/>
        </w:rPr>
        <w:t> </w:t>
      </w:r>
      <w:r>
        <w:rPr>
          <w:color w:val="6E6158"/>
        </w:rPr>
        <w:t>an amicus brief on behalf of the Mechanical Contractors Association of Western Washington,</w:t>
      </w:r>
      <w:r>
        <w:rPr>
          <w:color w:val="6E6158"/>
          <w:spacing w:val="40"/>
        </w:rPr>
        <w:t> </w:t>
      </w:r>
      <w:r>
        <w:rPr>
          <w:color w:val="6E6158"/>
        </w:rPr>
        <w:t>National</w:t>
      </w:r>
      <w:r>
        <w:rPr>
          <w:color w:val="6E6158"/>
          <w:spacing w:val="40"/>
        </w:rPr>
        <w:t> </w:t>
      </w:r>
      <w:r>
        <w:rPr>
          <w:color w:val="6E6158"/>
        </w:rPr>
        <w:t>Electrical</w:t>
      </w:r>
      <w:r>
        <w:rPr>
          <w:color w:val="6E6158"/>
          <w:spacing w:val="40"/>
        </w:rPr>
        <w:t> </w:t>
      </w:r>
      <w:r>
        <w:rPr>
          <w:color w:val="6E6158"/>
        </w:rPr>
        <w:t>Contractors</w:t>
      </w:r>
      <w:r>
        <w:rPr>
          <w:color w:val="6E6158"/>
          <w:spacing w:val="40"/>
        </w:rPr>
        <w:t> </w:t>
      </w:r>
      <w:r>
        <w:rPr>
          <w:color w:val="6E6158"/>
        </w:rPr>
        <w:t>Association,</w:t>
      </w:r>
      <w:r>
        <w:rPr>
          <w:color w:val="6E6158"/>
          <w:spacing w:val="40"/>
        </w:rPr>
        <w:t> </w:t>
      </w:r>
      <w:r>
        <w:rPr>
          <w:color w:val="6E6158"/>
        </w:rPr>
        <w:t>Sheet</w:t>
      </w:r>
      <w:r>
        <w:rPr>
          <w:color w:val="6E6158"/>
          <w:spacing w:val="40"/>
        </w:rPr>
        <w:t> </w:t>
      </w:r>
      <w:r>
        <w:rPr>
          <w:color w:val="6E6158"/>
        </w:rPr>
        <w:t>Metal</w:t>
      </w:r>
      <w:r>
        <w:rPr>
          <w:color w:val="6E6158"/>
          <w:spacing w:val="40"/>
        </w:rPr>
        <w:t> </w:t>
      </w:r>
      <w:r>
        <w:rPr>
          <w:color w:val="6E6158"/>
        </w:rPr>
        <w:t>Air</w:t>
      </w:r>
      <w:r>
        <w:rPr>
          <w:color w:val="6E6158"/>
          <w:spacing w:val="40"/>
        </w:rPr>
        <w:t> </w:t>
      </w:r>
      <w:r>
        <w:rPr>
          <w:color w:val="6E6158"/>
        </w:rPr>
        <w:t>Conditioning</w:t>
      </w:r>
      <w:r>
        <w:rPr>
          <w:color w:val="6E6158"/>
          <w:spacing w:val="40"/>
        </w:rPr>
        <w:t> </w:t>
      </w:r>
      <w:r>
        <w:rPr>
          <w:color w:val="6E6158"/>
        </w:rPr>
        <w:t>National</w:t>
      </w:r>
      <w:r>
        <w:rPr>
          <w:color w:val="6E6158"/>
          <w:spacing w:val="40"/>
        </w:rPr>
        <w:t> </w:t>
      </w:r>
      <w:r>
        <w:rPr>
          <w:color w:val="6E6158"/>
        </w:rPr>
        <w:t>Association,</w:t>
      </w:r>
    </w:p>
    <w:p>
      <w:pPr>
        <w:pStyle w:val="BodyText"/>
        <w:spacing w:line="302" w:lineRule="auto" w:before="2"/>
        <w:ind w:right="533"/>
      </w:pPr>
      <w:r>
        <w:rPr>
          <w:color w:val="6E6158"/>
        </w:rPr>
        <w:t>Northwest Wall &amp; Ceiling Contractors Association, National Utility Contractors Association </w:t>
      </w:r>
      <w:r>
        <w:rPr>
          <w:color w:val="6E6158"/>
        </w:rPr>
        <w:t>of Washington, and Washington State Conference of Mason Contractors.</w:t>
      </w:r>
    </w:p>
    <w:p>
      <w:pPr>
        <w:pStyle w:val="BodyText"/>
        <w:spacing w:line="297" w:lineRule="auto" w:before="113"/>
      </w:pPr>
      <w:r>
        <w:rPr>
          <w:color w:val="6E6158"/>
        </w:rPr>
        <w:t>Hemmen v. Cho, 2023 WL 195346 (Div. 1 2023) (unpublished): secured reversal of the trial court’s</w:t>
      </w:r>
      <w:r>
        <w:rPr>
          <w:color w:val="6E6158"/>
          <w:spacing w:val="40"/>
        </w:rPr>
        <w:t> </w:t>
      </w:r>
      <w:r>
        <w:rPr>
          <w:color w:val="6E6158"/>
        </w:rPr>
        <w:t>determination that a gate interfered with easement rights and affirmed dismissal of the plaintiff’s</w:t>
      </w:r>
      <w:r>
        <w:rPr>
          <w:color w:val="6E6158"/>
          <w:spacing w:val="80"/>
        </w:rPr>
        <w:t> </w:t>
      </w:r>
      <w:r>
        <w:rPr>
          <w:color w:val="6E6158"/>
        </w:rPr>
        <w:t>prescriptive easement claims.</w:t>
      </w:r>
    </w:p>
    <w:p>
      <w:pPr>
        <w:pStyle w:val="BodyText"/>
        <w:spacing w:line="292" w:lineRule="auto" w:before="118"/>
        <w:ind w:right="552"/>
      </w:pPr>
      <w:r>
        <w:rPr>
          <w:color w:val="6E6158"/>
        </w:rPr>
        <w:t>King County v. Walsh Construction Co., 27 Wn. App. 2d 156, 532 P.3d 182 (Div. 1 2023): drafted an amicus brief on behalf of the Associated General Contractors of Washington and National Utility</w:t>
      </w:r>
      <w:r>
        <w:rPr>
          <w:color w:val="6E6158"/>
          <w:spacing w:val="40"/>
        </w:rPr>
        <w:t> </w:t>
      </w:r>
      <w:r>
        <w:rPr>
          <w:color w:val="6E6158"/>
        </w:rPr>
        <w:t>Contractors Association of Washington.</w:t>
      </w:r>
    </w:p>
    <w:p>
      <w:pPr>
        <w:pStyle w:val="BodyText"/>
        <w:spacing w:line="292" w:lineRule="auto" w:before="132"/>
        <w:ind w:right="533"/>
      </w:pPr>
      <w:r>
        <w:rPr>
          <w:color w:val="6E6158"/>
        </w:rPr>
        <w:t>Bridge Co. v. Clark/Lewis et al., No. 85808-4-I (Div. 1 2023): drafted an amicus brief opposing</w:t>
      </w:r>
      <w:r>
        <w:rPr>
          <w:color w:val="6E6158"/>
          <w:spacing w:val="40"/>
        </w:rPr>
        <w:t> </w:t>
      </w:r>
      <w:r>
        <w:rPr>
          <w:color w:val="6E6158"/>
        </w:rPr>
        <w:t>discretionary</w:t>
      </w:r>
      <w:r>
        <w:rPr>
          <w:color w:val="6E6158"/>
          <w:spacing w:val="14"/>
        </w:rPr>
        <w:t> </w:t>
      </w:r>
      <w:r>
        <w:rPr>
          <w:color w:val="6E6158"/>
        </w:rPr>
        <w:t>review</w:t>
      </w:r>
      <w:r>
        <w:rPr>
          <w:color w:val="6E6158"/>
          <w:spacing w:val="14"/>
        </w:rPr>
        <w:t> </w:t>
      </w:r>
      <w:r>
        <w:rPr>
          <w:color w:val="6E6158"/>
        </w:rPr>
        <w:t>on</w:t>
      </w:r>
      <w:r>
        <w:rPr>
          <w:color w:val="6E6158"/>
          <w:spacing w:val="14"/>
        </w:rPr>
        <w:t> </w:t>
      </w:r>
      <w:r>
        <w:rPr>
          <w:color w:val="6E6158"/>
        </w:rPr>
        <w:t>behalf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Mechanical</w:t>
      </w:r>
      <w:r>
        <w:rPr>
          <w:color w:val="6E6158"/>
          <w:spacing w:val="14"/>
        </w:rPr>
        <w:t> </w:t>
      </w:r>
      <w:r>
        <w:rPr>
          <w:color w:val="6E6158"/>
        </w:rPr>
        <w:t>Contractors</w:t>
      </w:r>
      <w:r>
        <w:rPr>
          <w:color w:val="6E6158"/>
          <w:spacing w:val="15"/>
        </w:rPr>
        <w:t> </w:t>
      </w:r>
      <w:r>
        <w:rPr>
          <w:color w:val="6E6158"/>
        </w:rPr>
        <w:t>Association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Western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Washington.</w:t>
      </w:r>
    </w:p>
    <w:p>
      <w:pPr>
        <w:pStyle w:val="BodyText"/>
        <w:spacing w:line="292" w:lineRule="auto" w:before="123"/>
        <w:ind w:right="533"/>
      </w:pPr>
      <w:r>
        <w:rPr>
          <w:color w:val="6E6158"/>
        </w:rPr>
        <w:t>C.A. Carey Corp. v. City of Snoqualmie, 29 Wn. App. 2d 890, 547 P.3d 247 (Div. 1 2024): drafted</w:t>
      </w:r>
      <w:r>
        <w:rPr>
          <w:color w:val="6E6158"/>
          <w:spacing w:val="40"/>
        </w:rPr>
        <w:t> </w:t>
      </w:r>
      <w:r>
        <w:rPr>
          <w:color w:val="6E6158"/>
        </w:rPr>
        <w:t>briefing on Washington contractor law.</w:t>
      </w:r>
    </w:p>
    <w:p>
      <w:pPr>
        <w:pStyle w:val="BodyText"/>
        <w:spacing w:line="292" w:lineRule="auto" w:before="132"/>
        <w:ind w:right="533"/>
      </w:pPr>
      <w:r>
        <w:rPr>
          <w:color w:val="6E6158"/>
        </w:rPr>
        <w:t>Maniatis v. Singh, No. 86872-1-I (Div. 1 2024): drafted briefing on trial court’s failure to follow</w:t>
      </w:r>
      <w:r>
        <w:rPr>
          <w:color w:val="6E6158"/>
          <w:spacing w:val="40"/>
        </w:rPr>
        <w:t> </w:t>
      </w:r>
      <w:r>
        <w:rPr>
          <w:color w:val="6E6158"/>
        </w:rPr>
        <w:t>procedural and substantive requirements in finding the defendant in contempt of court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presented oral argument on the same.</w:t>
      </w:r>
    </w:p>
    <w:p>
      <w:pPr>
        <w:pStyle w:val="BodyText"/>
        <w:spacing w:line="302" w:lineRule="auto" w:before="123"/>
        <w:ind w:right="783"/>
      </w:pPr>
      <w:r>
        <w:rPr>
          <w:color w:val="6E6158"/>
        </w:rPr>
        <w:t>Nsejjere v. Anderton, No. 60351-9-II (Div. 2 2025): secured affirmation of trial court’s grant of</w:t>
      </w:r>
      <w:r>
        <w:rPr>
          <w:color w:val="6E6158"/>
          <w:spacing w:val="40"/>
        </w:rPr>
        <w:t> </w:t>
      </w:r>
      <w:r>
        <w:rPr>
          <w:color w:val="6E6158"/>
        </w:rPr>
        <w:t>dismissal for failure to state a claim for defamation.</w:t>
      </w:r>
    </w:p>
    <w:p>
      <w:pPr>
        <w:pStyle w:val="BodyText"/>
        <w:spacing w:before="10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783"/>
      </w:pPr>
      <w:r>
        <w:rPr>
          <w:color w:val="6E6158"/>
        </w:rPr>
        <w:t>Best Lawyers® Ones to Watch®, Creditor Debtor Rights / Insolvency and Reorganization </w:t>
      </w:r>
      <w:r>
        <w:rPr>
          <w:color w:val="6E6158"/>
        </w:rPr>
        <w:t>Law, and Commercial Litigation, 2026-2027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080"/>
        </w:sectPr>
      </w:pPr>
    </w:p>
    <w:p>
      <w:pPr>
        <w:spacing w:before="7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Washington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color w:val="6E6158"/>
          <w:sz w:val="19"/>
        </w:rPr>
        <w:t>®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Rising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Star,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2022-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before="16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 w:before="1"/>
        <w:ind w:right="609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Washington Court of Appeals Recognizes Employer Duty to Employee’s Future </w:t>
        </w:r>
        <w:r>
          <w:rPr>
            <w:color w:val="F5821F"/>
          </w:rPr>
          <w:t>Child</w:t>
        </w:r>
      </w:hyperlink>
      <w:r>
        <w:rPr>
          <w:color w:val="F5821F"/>
          <w:spacing w:val="80"/>
        </w:rPr>
        <w:t> </w:t>
      </w:r>
      <w:hyperlink r:id="rId11">
        <w:r>
          <w:rPr>
            <w:color w:val="F5821F"/>
          </w:rPr>
          <w:t>in Preconception Exposure Case</w:t>
        </w:r>
      </w:hyperlink>
      <w:r>
        <w:rPr>
          <w:color w:val="6E6158"/>
        </w:rPr>
        <w:t>,” Fennemore Blog, July 23, 2026</w:t>
      </w:r>
    </w:p>
    <w:p>
      <w:pPr>
        <w:pStyle w:val="BodyText"/>
        <w:spacing w:line="292" w:lineRule="auto" w:before="112"/>
        <w:ind w:right="533"/>
      </w:pPr>
      <w:r>
        <w:rPr>
          <w:color w:val="6E6158"/>
        </w:rPr>
        <w:t>Comment, “Jurisprudential Juxtapositions: Resolving Establishment Clause Issues After Town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Greece, N.Y. v. Galloway,” 50 GONZ. L. REV. 1, 75-96 (2015)</w:t>
      </w:r>
    </w:p>
    <w:p>
      <w:pPr>
        <w:pStyle w:val="BodyText"/>
        <w:spacing w:line="302" w:lineRule="auto" w:before="124"/>
        <w:ind w:right="533"/>
      </w:pPr>
      <w:r>
        <w:rPr>
          <w:color w:val="6E6158"/>
        </w:rPr>
        <w:t>Author, “Tropical Cyclones and Global Warming,” GLOBAL CLIMATE CHANGE AND NATURAL RESOURCES 1, 203 (Roberts Environmental Center Press 2011).</w:t>
      </w:r>
    </w:p>
    <w:p>
      <w:pPr>
        <w:pStyle w:val="BodyText"/>
        <w:spacing w:line="292" w:lineRule="auto" w:before="112"/>
        <w:ind w:right="533"/>
      </w:pPr>
      <w:r>
        <w:rPr>
          <w:color w:val="6E6158"/>
        </w:rPr>
        <w:t>Editor, Washington Construction Law Deskbook (2024): Chapter 11, Construction and </w:t>
      </w:r>
      <w:r>
        <w:rPr>
          <w:color w:val="6E6158"/>
        </w:rPr>
        <w:t>Other Involuntary Liens.</w:t>
      </w:r>
    </w:p>
    <w:p>
      <w:pPr>
        <w:pStyle w:val="BodyText"/>
        <w:spacing w:before="124"/>
      </w:pPr>
      <w:r>
        <w:rPr>
          <w:color w:val="6E6158"/>
        </w:rPr>
        <w:t>Editor,</w:t>
      </w:r>
      <w:r>
        <w:rPr>
          <w:color w:val="6E6158"/>
          <w:spacing w:val="11"/>
        </w:rPr>
        <w:t> </w:t>
      </w:r>
      <w:r>
        <w:rPr>
          <w:color w:val="6E6158"/>
        </w:rPr>
        <w:t>Washington</w:t>
      </w:r>
      <w:r>
        <w:rPr>
          <w:color w:val="6E6158"/>
          <w:spacing w:val="12"/>
        </w:rPr>
        <w:t> </w:t>
      </w:r>
      <w:r>
        <w:rPr>
          <w:color w:val="6E6158"/>
        </w:rPr>
        <w:t>Construction</w:t>
      </w:r>
      <w:r>
        <w:rPr>
          <w:color w:val="6E6158"/>
          <w:spacing w:val="11"/>
        </w:rPr>
        <w:t> </w:t>
      </w:r>
      <w:r>
        <w:rPr>
          <w:color w:val="6E6158"/>
        </w:rPr>
        <w:t>Law</w:t>
      </w:r>
      <w:r>
        <w:rPr>
          <w:color w:val="6E6158"/>
          <w:spacing w:val="12"/>
        </w:rPr>
        <w:t> </w:t>
      </w:r>
      <w:r>
        <w:rPr>
          <w:color w:val="6E6158"/>
        </w:rPr>
        <w:t>Deskbook</w:t>
      </w:r>
      <w:r>
        <w:rPr>
          <w:color w:val="6E6158"/>
          <w:spacing w:val="11"/>
        </w:rPr>
        <w:t> </w:t>
      </w:r>
      <w:r>
        <w:rPr>
          <w:color w:val="6E6158"/>
        </w:rPr>
        <w:t>(2024):</w:t>
      </w:r>
      <w:r>
        <w:rPr>
          <w:color w:val="6E6158"/>
          <w:spacing w:val="12"/>
        </w:rPr>
        <w:t> </w:t>
      </w:r>
      <w:r>
        <w:rPr>
          <w:color w:val="6E6158"/>
        </w:rPr>
        <w:t>Chapter</w:t>
      </w:r>
      <w:r>
        <w:rPr>
          <w:color w:val="6E6158"/>
          <w:spacing w:val="11"/>
        </w:rPr>
        <w:t> </w:t>
      </w:r>
      <w:r>
        <w:rPr>
          <w:color w:val="6E6158"/>
        </w:rPr>
        <w:t>15,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Damages.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Washington</w:t>
      </w:r>
      <w:r>
        <w:rPr>
          <w:color w:val="6E6158"/>
          <w:spacing w:val="10"/>
        </w:rPr>
        <w:t> </w:t>
      </w:r>
      <w:r>
        <w:rPr>
          <w:color w:val="6E6158"/>
        </w:rPr>
        <w:t>State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line="393" w:lineRule="auto" w:before="173"/>
        <w:ind w:left="343" w:right="3508" w:hanging="245"/>
      </w:pPr>
      <w:r>
        <w:rPr>
          <w:color w:val="6E6158"/>
        </w:rPr>
        <w:t>King County Bar Association – Appellate Practice </w:t>
      </w:r>
      <w:r>
        <w:rPr>
          <w:color w:val="6E6158"/>
        </w:rPr>
        <w:t>Section Executive Committee, Honorary Member, 2025</w:t>
      </w:r>
    </w:p>
    <w:p>
      <w:pPr>
        <w:pStyle w:val="BodyText"/>
        <w:spacing w:before="34"/>
      </w:pPr>
      <w:r>
        <w:rPr>
          <w:color w:val="6E6158"/>
        </w:rPr>
        <w:t>Washington</w:t>
      </w:r>
      <w:r>
        <w:rPr>
          <w:color w:val="6E6158"/>
          <w:spacing w:val="11"/>
        </w:rPr>
        <w:t> </w:t>
      </w:r>
      <w:r>
        <w:rPr>
          <w:color w:val="6E6158"/>
        </w:rPr>
        <w:t>Defense</w:t>
      </w:r>
      <w:r>
        <w:rPr>
          <w:color w:val="6E6158"/>
          <w:spacing w:val="12"/>
        </w:rPr>
        <w:t> </w:t>
      </w:r>
      <w:r>
        <w:rPr>
          <w:color w:val="6E6158"/>
        </w:rPr>
        <w:t>Trial</w:t>
      </w:r>
      <w:r>
        <w:rPr>
          <w:color w:val="6E6158"/>
          <w:spacing w:val="11"/>
        </w:rPr>
        <w:t> </w:t>
      </w:r>
      <w:r>
        <w:rPr>
          <w:color w:val="6E6158"/>
        </w:rPr>
        <w:t>Lawyers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Washington</w:t>
      </w:r>
    </w:p>
    <w:p>
      <w:pPr>
        <w:pStyle w:val="BodyText"/>
        <w:spacing w:line="427" w:lineRule="auto" w:before="174"/>
        <w:ind w:right="4744"/>
      </w:pPr>
      <w:r>
        <w:rPr>
          <w:color w:val="6E6158"/>
        </w:rPr>
        <w:t>U.S. District Court, Western District of </w:t>
      </w:r>
      <w:r>
        <w:rPr>
          <w:color w:val="6E6158"/>
        </w:rPr>
        <w:t>Washington</w:t>
      </w:r>
      <w:r>
        <w:rPr>
          <w:color w:val="6E6158"/>
        </w:rPr>
        <w:t> Ninth Circuit Court of Appeals</w:t>
      </w:r>
    </w:p>
    <w:p>
      <w:pPr>
        <w:pStyle w:val="BodyText"/>
        <w:spacing w:line="420" w:lineRule="auto"/>
        <w:ind w:right="5195"/>
      </w:pPr>
      <w:r>
        <w:rPr>
          <w:color w:val="6E6158"/>
        </w:rPr>
        <w:t>U.S. Court of Appeals, District of </w:t>
      </w:r>
      <w:r>
        <w:rPr>
          <w:color w:val="6E6158"/>
        </w:rPr>
        <w:t>Columbia</w:t>
      </w:r>
      <w:r>
        <w:rPr>
          <w:color w:val="6E6158"/>
        </w:rPr>
        <w:t> United States Supreme Court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seattle/" TargetMode="External"/><Relationship Id="rId10" Type="http://schemas.openxmlformats.org/officeDocument/2006/relationships/hyperlink" Target="mailto:bnadler@fennemorelaw.com" TargetMode="External"/><Relationship Id="rId11" Type="http://schemas.openxmlformats.org/officeDocument/2006/relationships/hyperlink" Target="https://www.fennemorelaw.com/washington-court-of-appeals-recognizes-employer-duty-to-employees-future-child-in-preconception-exposure-case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Brian Nadler - Fennemore</dc:title>
  <dcterms:created xsi:type="dcterms:W3CDTF">2026-09-30T14:04:13Z</dcterms:created>
  <dcterms:modified xsi:type="dcterms:W3CDTF">2026-09-30T14:04:13Z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2026-09-30T00:00:00Z</vt:filetime>
  </property>
  <property fmtid="{D5CDD505-2E9C-101B-9397-08002B2CF9AE}" pid="6" name="Producer">
    <vt:lpwstr>Skia/PDF m153</vt:lpwstr>
  </property>
</Properties>
</file>