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3540125"/>
                <wp:effectExtent l="0" t="0" r="0" b="3175"/>
                <wp:docPr id="1" name="Group 1"/>
                <wp:cNvGraphicFramePr>
                  <a:graphicFrameLocks/>
                </wp:cNvGraphicFramePr>
                <a:graphic>
                  <a:graphicData uri="http://schemas.microsoft.com/office/word/2010/wordprocessingGroup">
                    <wpg:wgp>
                      <wpg:cNvPr id="1" name="Group 1"/>
                      <wpg:cNvGrpSpPr/>
                      <wpg:grpSpPr>
                        <a:xfrm>
                          <a:off x="0" y="0"/>
                          <a:ext cx="6071870" cy="3540125"/>
                          <a:chExt cx="6071870" cy="354012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Catherine Renshaw bio"/>
                          <pic:cNvPicPr/>
                        </pic:nvPicPr>
                        <pic:blipFill>
                          <a:blip r:embed="rId7" cstate="print"/>
                          <a:stretch>
                            <a:fillRect/>
                          </a:stretch>
                        </pic:blipFill>
                        <pic:spPr>
                          <a:xfrm>
                            <a:off x="0" y="268700"/>
                            <a:ext cx="3038379" cy="3270908"/>
                          </a:xfrm>
                          <a:prstGeom prst="rect">
                            <a:avLst/>
                          </a:prstGeom>
                        </pic:spPr>
                      </pic:pic>
                      <wps:wsp>
                        <wps:cNvPr id="4" name="Graphic 4"/>
                        <wps:cNvSpPr/>
                        <wps:spPr>
                          <a:xfrm>
                            <a:off x="3038379" y="268700"/>
                            <a:ext cx="3033395" cy="3271520"/>
                          </a:xfrm>
                          <a:custGeom>
                            <a:avLst/>
                            <a:gdLst/>
                            <a:ahLst/>
                            <a:cxnLst/>
                            <a:rect l="l" t="t" r="r" b="b"/>
                            <a:pathLst>
                              <a:path w="3033395" h="3271520">
                                <a:moveTo>
                                  <a:pt x="3033212" y="3270908"/>
                                </a:moveTo>
                                <a:lnTo>
                                  <a:pt x="0" y="3270908"/>
                                </a:lnTo>
                                <a:lnTo>
                                  <a:pt x="0" y="0"/>
                                </a:lnTo>
                                <a:lnTo>
                                  <a:pt x="3033212" y="0"/>
                                </a:lnTo>
                                <a:lnTo>
                                  <a:pt x="3033212" y="3270908"/>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3271520"/>
                          </a:xfrm>
                          <a:prstGeom prst="rect">
                            <a:avLst/>
                          </a:prstGeom>
                        </wps:spPr>
                        <wps:txbx>
                          <w:txbxContent>
                            <w:p>
                              <w:pPr>
                                <w:spacing w:line="240" w:lineRule="auto" w:before="370"/>
                                <w:rPr>
                                  <w:rFonts w:ascii="Times New Roman"/>
                                  <w:sz w:val="39"/>
                                </w:rPr>
                              </w:pPr>
                            </w:p>
                            <w:p>
                              <w:pPr>
                                <w:spacing w:line="216" w:lineRule="auto" w:before="0"/>
                                <w:ind w:left="468" w:right="470" w:firstLine="0"/>
                                <w:jc w:val="center"/>
                                <w:rPr>
                                  <w:sz w:val="39"/>
                                </w:rPr>
                              </w:pPr>
                              <w:r>
                                <w:rPr>
                                  <w:color w:val="FFFFFF"/>
                                  <w:spacing w:val="-4"/>
                                  <w:sz w:val="39"/>
                                </w:rPr>
                                <w:t>CATHERINE </w:t>
                              </w:r>
                              <w:r>
                                <w:rPr>
                                  <w:color w:val="FFFFFF"/>
                                  <w:spacing w:val="-2"/>
                                  <w:sz w:val="39"/>
                                </w:rPr>
                                <w:t>RENSHAW</w:t>
                              </w:r>
                            </w:p>
                            <w:p>
                              <w:pPr>
                                <w:spacing w:before="48"/>
                                <w:ind w:left="468" w:right="470" w:firstLine="0"/>
                                <w:jc w:val="center"/>
                                <w:rPr>
                                  <w:sz w:val="24"/>
                                </w:rPr>
                              </w:pPr>
                              <w:r>
                                <w:rPr>
                                  <w:color w:val="FFFFFF"/>
                                  <w:spacing w:val="-2"/>
                                  <w:sz w:val="24"/>
                                </w:rPr>
                                <w:t>Associate</w:t>
                              </w:r>
                            </w:p>
                            <w:p>
                              <w:pPr>
                                <w:spacing w:before="291"/>
                                <w:ind w:left="468" w:right="470" w:firstLine="0"/>
                                <w:jc w:val="center"/>
                                <w:rPr>
                                  <w:sz w:val="16"/>
                                </w:rPr>
                              </w:pPr>
                              <w:hyperlink r:id="rId8">
                                <w:r>
                                  <w:rPr>
                                    <w:color w:val="FFFFFF"/>
                                    <w:spacing w:val="-2"/>
                                    <w:sz w:val="16"/>
                                  </w:rPr>
                                  <w:t>Immigration</w:t>
                                </w:r>
                              </w:hyperlink>
                            </w:p>
                            <w:p>
                              <w:pPr>
                                <w:spacing w:line="240" w:lineRule="auto" w:before="0"/>
                                <w:rPr>
                                  <w:sz w:val="16"/>
                                </w:rPr>
                              </w:pPr>
                            </w:p>
                            <w:p>
                              <w:pPr>
                                <w:spacing w:line="240" w:lineRule="auto" w:before="38"/>
                                <w:rPr>
                                  <w:sz w:val="16"/>
                                </w:rPr>
                              </w:pPr>
                            </w:p>
                            <w:p>
                              <w:pPr>
                                <w:spacing w:before="0"/>
                                <w:ind w:left="468" w:right="470" w:firstLine="0"/>
                                <w:jc w:val="center"/>
                                <w:rPr>
                                  <w:sz w:val="16"/>
                                </w:rPr>
                              </w:pPr>
                              <w:hyperlink r:id="rId9">
                                <w:r>
                                  <w:rPr>
                                    <w:color w:val="FFFFFF"/>
                                    <w:spacing w:val="-2"/>
                                    <w:sz w:val="16"/>
                                  </w:rPr>
                                  <w:t>Boise</w:t>
                                </w:r>
                              </w:hyperlink>
                            </w:p>
                            <w:p>
                              <w:pPr>
                                <w:spacing w:before="54"/>
                                <w:ind w:left="468" w:right="470" w:firstLine="0"/>
                                <w:jc w:val="center"/>
                                <w:rPr>
                                  <w:sz w:val="17"/>
                                </w:rPr>
                              </w:pPr>
                              <w:r>
                                <w:rPr>
                                  <w:color w:val="FFFFFF"/>
                                  <w:sz w:val="17"/>
                                </w:rPr>
                                <w:t>P: </w:t>
                              </w:r>
                              <w:r>
                                <w:rPr>
                                  <w:color w:val="FFFFFF"/>
                                  <w:spacing w:val="-2"/>
                                  <w:sz w:val="17"/>
                                </w:rPr>
                                <w:t>208.489.0100</w:t>
                              </w:r>
                            </w:p>
                            <w:p>
                              <w:pPr>
                                <w:spacing w:line="319" w:lineRule="auto" w:before="109"/>
                                <w:ind w:left="816" w:right="819" w:hanging="1"/>
                                <w:jc w:val="center"/>
                                <w:rPr>
                                  <w:sz w:val="17"/>
                                </w:rPr>
                              </w:pPr>
                              <w:r>
                                <w:rPr>
                                  <w:color w:val="FFFFFF"/>
                                  <w:sz w:val="17"/>
                                </w:rPr>
                                <w:t>P: Idaho Immigration: 208.489.0100 Washington</w:t>
                              </w:r>
                              <w:r>
                                <w:rPr>
                                  <w:color w:val="FFFFFF"/>
                                  <w:spacing w:val="-12"/>
                                  <w:sz w:val="17"/>
                                </w:rPr>
                                <w:t> </w:t>
                              </w:r>
                              <w:r>
                                <w:rPr>
                                  <w:color w:val="FFFFFF"/>
                                  <w:sz w:val="17"/>
                                </w:rPr>
                                <w:t>Immigration:</w:t>
                              </w:r>
                              <w:r>
                                <w:rPr>
                                  <w:color w:val="FFFFFF"/>
                                  <w:spacing w:val="-12"/>
                                  <w:sz w:val="17"/>
                                </w:rPr>
                                <w:t> </w:t>
                              </w:r>
                              <w:r>
                                <w:rPr>
                                  <w:color w:val="FFFFFF"/>
                                  <w:sz w:val="17"/>
                                </w:rPr>
                                <w:t>509.413.1004</w:t>
                              </w:r>
                            </w:p>
                            <w:p>
                              <w:pPr>
                                <w:spacing w:before="50"/>
                                <w:ind w:left="468" w:right="470" w:firstLine="0"/>
                                <w:jc w:val="center"/>
                                <w:rPr>
                                  <w:sz w:val="16"/>
                                </w:rPr>
                              </w:pPr>
                              <w:hyperlink r:id="rId10">
                                <w:r>
                                  <w:rPr>
                                    <w:color w:val="FFFFFF"/>
                                    <w:spacing w:val="-2"/>
                                    <w:sz w:val="16"/>
                                  </w:rPr>
                                  <w:t>crenshaw@fennemorelaw.com</w:t>
                                </w:r>
                              </w:hyperlink>
                            </w:p>
                          </w:txbxContent>
                        </wps:txbx>
                        <wps:bodyPr wrap="square" lIns="0" tIns="0" rIns="0" bIns="0" rtlCol="0">
                          <a:noAutofit/>
                        </wps:bodyPr>
                      </wps:wsp>
                    </wpg:wgp>
                  </a:graphicData>
                </a:graphic>
              </wp:inline>
            </w:drawing>
          </mc:Choice>
          <mc:Fallback>
            <w:pict>
              <v:group style="width:478.1pt;height:278.75pt;mso-position-horizontal-relative:char;mso-position-vertical-relative:line" id="docshapegroup1" coordorigin="0,0" coordsize="9562,5575">
                <v:shape style="position:absolute;left:0;top:0;width:2165;height:424" type="#_x0000_t75" id="docshape2" alt="Fennemore" href="https://www.fennemorelaw.com/" stroked="false">
                  <v:imagedata r:id="rId5" o:title=""/>
                </v:shape>
                <v:shape style="position:absolute;left:0;top:423;width:4785;height:5152" type="#_x0000_t75" id="docshape3" alt="Catherine Renshaw bio" stroked="false">
                  <v:imagedata r:id="rId7" o:title=""/>
                </v:shape>
                <v:rect style="position:absolute;left:4784;top:423;width:4777;height:5152" id="docshape4" filled="true" fillcolor="#262424" stroked="false">
                  <v:fill type="solid"/>
                </v:rect>
                <v:shape style="position:absolute;left:5500;top:2587;width:3337;height:505" id="docshape5" coordorigin="5501,2588" coordsize="3337,505" path="m8837,3084l5501,3084,5501,3092,8837,3092,8837,3084xm8837,2588l5501,2588,5501,2596,8837,2596,8837,2588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5152" type="#_x0000_t202" id="docshape6" filled="false" stroked="false">
                  <v:textbox inset="0,0,0,0">
                    <w:txbxContent>
                      <w:p>
                        <w:pPr>
                          <w:spacing w:line="240" w:lineRule="auto" w:before="370"/>
                          <w:rPr>
                            <w:rFonts w:ascii="Times New Roman"/>
                            <w:sz w:val="39"/>
                          </w:rPr>
                        </w:pPr>
                      </w:p>
                      <w:p>
                        <w:pPr>
                          <w:spacing w:line="216" w:lineRule="auto" w:before="0"/>
                          <w:ind w:left="468" w:right="470" w:firstLine="0"/>
                          <w:jc w:val="center"/>
                          <w:rPr>
                            <w:sz w:val="39"/>
                          </w:rPr>
                        </w:pPr>
                        <w:r>
                          <w:rPr>
                            <w:color w:val="FFFFFF"/>
                            <w:spacing w:val="-4"/>
                            <w:sz w:val="39"/>
                          </w:rPr>
                          <w:t>CATHERINE </w:t>
                        </w:r>
                        <w:r>
                          <w:rPr>
                            <w:color w:val="FFFFFF"/>
                            <w:spacing w:val="-2"/>
                            <w:sz w:val="39"/>
                          </w:rPr>
                          <w:t>RENSHAW</w:t>
                        </w:r>
                      </w:p>
                      <w:p>
                        <w:pPr>
                          <w:spacing w:before="48"/>
                          <w:ind w:left="468" w:right="470" w:firstLine="0"/>
                          <w:jc w:val="center"/>
                          <w:rPr>
                            <w:sz w:val="24"/>
                          </w:rPr>
                        </w:pPr>
                        <w:r>
                          <w:rPr>
                            <w:color w:val="FFFFFF"/>
                            <w:spacing w:val="-2"/>
                            <w:sz w:val="24"/>
                          </w:rPr>
                          <w:t>Associate</w:t>
                        </w:r>
                      </w:p>
                      <w:p>
                        <w:pPr>
                          <w:spacing w:before="291"/>
                          <w:ind w:left="468" w:right="470" w:firstLine="0"/>
                          <w:jc w:val="center"/>
                          <w:rPr>
                            <w:sz w:val="16"/>
                          </w:rPr>
                        </w:pPr>
                        <w:hyperlink r:id="rId8">
                          <w:r>
                            <w:rPr>
                              <w:color w:val="FFFFFF"/>
                              <w:spacing w:val="-2"/>
                              <w:sz w:val="16"/>
                            </w:rPr>
                            <w:t>Immigration</w:t>
                          </w:r>
                        </w:hyperlink>
                      </w:p>
                      <w:p>
                        <w:pPr>
                          <w:spacing w:line="240" w:lineRule="auto" w:before="0"/>
                          <w:rPr>
                            <w:sz w:val="16"/>
                          </w:rPr>
                        </w:pPr>
                      </w:p>
                      <w:p>
                        <w:pPr>
                          <w:spacing w:line="240" w:lineRule="auto" w:before="38"/>
                          <w:rPr>
                            <w:sz w:val="16"/>
                          </w:rPr>
                        </w:pPr>
                      </w:p>
                      <w:p>
                        <w:pPr>
                          <w:spacing w:before="0"/>
                          <w:ind w:left="468" w:right="470" w:firstLine="0"/>
                          <w:jc w:val="center"/>
                          <w:rPr>
                            <w:sz w:val="16"/>
                          </w:rPr>
                        </w:pPr>
                        <w:hyperlink r:id="rId9">
                          <w:r>
                            <w:rPr>
                              <w:color w:val="FFFFFF"/>
                              <w:spacing w:val="-2"/>
                              <w:sz w:val="16"/>
                            </w:rPr>
                            <w:t>Boise</w:t>
                          </w:r>
                        </w:hyperlink>
                      </w:p>
                      <w:p>
                        <w:pPr>
                          <w:spacing w:before="54"/>
                          <w:ind w:left="468" w:right="470" w:firstLine="0"/>
                          <w:jc w:val="center"/>
                          <w:rPr>
                            <w:sz w:val="17"/>
                          </w:rPr>
                        </w:pPr>
                        <w:r>
                          <w:rPr>
                            <w:color w:val="FFFFFF"/>
                            <w:sz w:val="17"/>
                          </w:rPr>
                          <w:t>P: </w:t>
                        </w:r>
                        <w:r>
                          <w:rPr>
                            <w:color w:val="FFFFFF"/>
                            <w:spacing w:val="-2"/>
                            <w:sz w:val="17"/>
                          </w:rPr>
                          <w:t>208.489.0100</w:t>
                        </w:r>
                      </w:p>
                      <w:p>
                        <w:pPr>
                          <w:spacing w:line="319" w:lineRule="auto" w:before="109"/>
                          <w:ind w:left="816" w:right="819" w:hanging="1"/>
                          <w:jc w:val="center"/>
                          <w:rPr>
                            <w:sz w:val="17"/>
                          </w:rPr>
                        </w:pPr>
                        <w:r>
                          <w:rPr>
                            <w:color w:val="FFFFFF"/>
                            <w:sz w:val="17"/>
                          </w:rPr>
                          <w:t>P: Idaho Immigration: 208.489.0100 Washington</w:t>
                        </w:r>
                        <w:r>
                          <w:rPr>
                            <w:color w:val="FFFFFF"/>
                            <w:spacing w:val="-12"/>
                            <w:sz w:val="17"/>
                          </w:rPr>
                          <w:t> </w:t>
                        </w:r>
                        <w:r>
                          <w:rPr>
                            <w:color w:val="FFFFFF"/>
                            <w:sz w:val="17"/>
                          </w:rPr>
                          <w:t>Immigration:</w:t>
                        </w:r>
                        <w:r>
                          <w:rPr>
                            <w:color w:val="FFFFFF"/>
                            <w:spacing w:val="-12"/>
                            <w:sz w:val="17"/>
                          </w:rPr>
                          <w:t> </w:t>
                        </w:r>
                        <w:r>
                          <w:rPr>
                            <w:color w:val="FFFFFF"/>
                            <w:sz w:val="17"/>
                          </w:rPr>
                          <w:t>509.413.1004</w:t>
                        </w:r>
                      </w:p>
                      <w:p>
                        <w:pPr>
                          <w:spacing w:before="50"/>
                          <w:ind w:left="468" w:right="470" w:firstLine="0"/>
                          <w:jc w:val="center"/>
                          <w:rPr>
                            <w:sz w:val="16"/>
                          </w:rPr>
                        </w:pPr>
                        <w:hyperlink r:id="rId10">
                          <w:r>
                            <w:rPr>
                              <w:color w:val="FFFFFF"/>
                              <w:spacing w:val="-2"/>
                              <w:sz w:val="16"/>
                            </w:rPr>
                            <w:t>crenshaw@fennemorelaw.com</w:t>
                          </w:r>
                        </w:hyperlink>
                      </w:p>
                    </w:txbxContent>
                  </v:textbox>
                  <w10:wrap type="none"/>
                </v:shape>
              </v:group>
            </w:pict>
          </mc:Fallback>
        </mc:AlternateContent>
      </w:r>
      <w:r>
        <w:rPr>
          <w:rFonts w:ascii="Times New Roman"/>
          <w:sz w:val="20"/>
        </w:rPr>
      </w:r>
    </w:p>
    <w:p>
      <w:pPr>
        <w:pStyle w:val="Heading1"/>
        <w:spacing w:before="72"/>
      </w:pPr>
      <w:r>
        <w:rPr>
          <w:color w:val="FF8100"/>
        </w:rPr>
        <w:t>CATHERINE</w:t>
      </w:r>
      <w:r>
        <w:rPr>
          <w:color w:val="FF8100"/>
          <w:spacing w:val="13"/>
        </w:rPr>
        <w:t> </w:t>
      </w:r>
      <w:r>
        <w:rPr>
          <w:color w:val="FF8100"/>
          <w:spacing w:val="-2"/>
        </w:rPr>
        <w:t>RENSHAW</w:t>
      </w:r>
    </w:p>
    <w:p>
      <w:pPr>
        <w:pStyle w:val="BodyText"/>
        <w:spacing w:line="297" w:lineRule="auto" w:before="147"/>
        <w:ind w:right="600"/>
      </w:pPr>
      <w:r>
        <w:rPr>
          <w:color w:val="6E6158"/>
        </w:rPr>
        <w:t>Catherine Renshaw helps employers navigate immigration matters in which timing, </w:t>
      </w:r>
      <w:r>
        <w:rPr>
          <w:color w:val="6E6158"/>
        </w:rPr>
        <w:t>compliance,</w:t>
      </w:r>
      <w:r>
        <w:rPr>
          <w:color w:val="6E6158"/>
          <w:spacing w:val="40"/>
        </w:rPr>
        <w:t> </w:t>
      </w:r>
      <w:r>
        <w:rPr>
          <w:color w:val="6E6158"/>
        </w:rPr>
        <w:t>and the strength of the record can have significant business consequences. Based in Boise, she</w:t>
      </w:r>
      <w:r>
        <w:rPr>
          <w:color w:val="6E6158"/>
          <w:spacing w:val="40"/>
        </w:rPr>
        <w:t> </w:t>
      </w:r>
      <w:r>
        <w:rPr>
          <w:color w:val="6E6158"/>
        </w:rPr>
        <w:t>advises</w:t>
      </w:r>
      <w:r>
        <w:rPr>
          <w:color w:val="6E6158"/>
          <w:spacing w:val="40"/>
        </w:rPr>
        <w:t> </w:t>
      </w:r>
      <w:r>
        <w:rPr>
          <w:color w:val="6E6158"/>
        </w:rPr>
        <w:t>businesses</w:t>
      </w:r>
      <w:r>
        <w:rPr>
          <w:color w:val="6E6158"/>
          <w:spacing w:val="40"/>
        </w:rPr>
        <w:t> </w:t>
      </w:r>
      <w:r>
        <w:rPr>
          <w:color w:val="6E6158"/>
        </w:rPr>
        <w:t>on</w:t>
      </w:r>
      <w:r>
        <w:rPr>
          <w:color w:val="6E6158"/>
          <w:spacing w:val="40"/>
        </w:rPr>
        <w:t> </w:t>
      </w:r>
      <w:r>
        <w:rPr>
          <w:color w:val="6E6158"/>
        </w:rPr>
        <w:t>employment-based</w:t>
      </w:r>
      <w:r>
        <w:rPr>
          <w:color w:val="6E6158"/>
          <w:spacing w:val="40"/>
        </w:rPr>
        <w:t> </w:t>
      </w:r>
      <w:r>
        <w:rPr>
          <w:color w:val="6E6158"/>
        </w:rPr>
        <w:t>visa</w:t>
      </w:r>
      <w:r>
        <w:rPr>
          <w:color w:val="6E6158"/>
          <w:spacing w:val="40"/>
        </w:rPr>
        <w:t> </w:t>
      </w:r>
      <w:r>
        <w:rPr>
          <w:color w:val="6E6158"/>
        </w:rPr>
        <w:t>petitions</w:t>
      </w:r>
      <w:r>
        <w:rPr>
          <w:color w:val="6E6158"/>
          <w:spacing w:val="40"/>
        </w:rPr>
        <w:t> </w:t>
      </w:r>
      <w:r>
        <w:rPr>
          <w:color w:val="6E6158"/>
        </w:rPr>
        <w:t>and</w:t>
      </w:r>
      <w:r>
        <w:rPr>
          <w:color w:val="6E6158"/>
          <w:spacing w:val="40"/>
        </w:rPr>
        <w:t> </w:t>
      </w:r>
      <w:r>
        <w:rPr>
          <w:color w:val="6E6158"/>
        </w:rPr>
        <w:t>immigration-related</w:t>
      </w:r>
      <w:r>
        <w:rPr>
          <w:color w:val="6E6158"/>
          <w:spacing w:val="40"/>
        </w:rPr>
        <w:t> </w:t>
      </w:r>
      <w:r>
        <w:rPr>
          <w:color w:val="6E6158"/>
        </w:rPr>
        <w:t>employment</w:t>
      </w:r>
    </w:p>
    <w:p>
      <w:pPr>
        <w:pStyle w:val="BodyText"/>
        <w:spacing w:line="297" w:lineRule="auto" w:before="0"/>
        <w:ind w:right="706"/>
      </w:pPr>
      <w:r>
        <w:rPr>
          <w:color w:val="6E6158"/>
        </w:rPr>
        <w:t>matters, including I-9 compliance, and represents clients before U.S. Citizenship and </w:t>
      </w:r>
      <w:r>
        <w:rPr>
          <w:color w:val="6E6158"/>
        </w:rPr>
        <w:t>Immigration</w:t>
      </w:r>
      <w:r>
        <w:rPr>
          <w:color w:val="6E6158"/>
          <w:spacing w:val="40"/>
        </w:rPr>
        <w:t> </w:t>
      </w:r>
      <w:r>
        <w:rPr>
          <w:color w:val="6E6158"/>
        </w:rPr>
        <w:t>Services, U.S. Immigration and Customs Enforcement, immigration court, and the federal courts,</w:t>
      </w:r>
      <w:r>
        <w:rPr>
          <w:color w:val="6E6158"/>
          <w:spacing w:val="40"/>
        </w:rPr>
        <w:t> </w:t>
      </w:r>
      <w:r>
        <w:rPr>
          <w:color w:val="6E6158"/>
        </w:rPr>
        <w:t>including the U.S. Court of Appeals for the Ninth Circuit.</w:t>
      </w:r>
    </w:p>
    <w:p>
      <w:pPr>
        <w:pStyle w:val="BodyText"/>
        <w:spacing w:line="295" w:lineRule="auto" w:before="187"/>
        <w:ind w:right="706"/>
      </w:pPr>
      <w:r>
        <w:rPr>
          <w:color w:val="6E6158"/>
        </w:rPr>
        <w:t>Catherine begins by identifying the client’s underlying business objective—whether an employer</w:t>
      </w:r>
      <w:r>
        <w:rPr>
          <w:color w:val="6E6158"/>
          <w:spacing w:val="40"/>
        </w:rPr>
        <w:t> </w:t>
      </w:r>
      <w:r>
        <w:rPr>
          <w:color w:val="6E6158"/>
        </w:rPr>
        <w:t>needs to recruit or retain an employee, address a compliance concern, respond to government</w:t>
      </w:r>
      <w:r>
        <w:rPr>
          <w:color w:val="6E6158"/>
          <w:spacing w:val="40"/>
        </w:rPr>
        <w:t> </w:t>
      </w:r>
      <w:r>
        <w:rPr>
          <w:color w:val="6E6158"/>
        </w:rPr>
        <w:t>scrutiny, or preserve its options in a contested matter. She then develops a practical strategy,</w:t>
      </w:r>
      <w:r>
        <w:rPr>
          <w:color w:val="6E6158"/>
          <w:spacing w:val="40"/>
        </w:rPr>
        <w:t> </w:t>
      </w:r>
      <w:r>
        <w:rPr>
          <w:color w:val="6E6158"/>
        </w:rPr>
        <w:t>explains</w:t>
      </w:r>
      <w:r>
        <w:rPr>
          <w:color w:val="6E6158"/>
          <w:spacing w:val="30"/>
        </w:rPr>
        <w:t> </w:t>
      </w:r>
      <w:r>
        <w:rPr>
          <w:color w:val="6E6158"/>
        </w:rPr>
        <w:t>the</w:t>
      </w:r>
      <w:r>
        <w:rPr>
          <w:color w:val="6E6158"/>
          <w:spacing w:val="30"/>
        </w:rPr>
        <w:t> </w:t>
      </w:r>
      <w:r>
        <w:rPr>
          <w:color w:val="6E6158"/>
        </w:rPr>
        <w:t>available</w:t>
      </w:r>
      <w:r>
        <w:rPr>
          <w:color w:val="6E6158"/>
          <w:spacing w:val="30"/>
        </w:rPr>
        <w:t> </w:t>
      </w:r>
      <w:r>
        <w:rPr>
          <w:color w:val="6E6158"/>
        </w:rPr>
        <w:t>options</w:t>
      </w:r>
      <w:r>
        <w:rPr>
          <w:color w:val="6E6158"/>
          <w:spacing w:val="30"/>
        </w:rPr>
        <w:t> </w:t>
      </w:r>
      <w:r>
        <w:rPr>
          <w:color w:val="6E6158"/>
        </w:rPr>
        <w:t>and</w:t>
      </w:r>
      <w:r>
        <w:rPr>
          <w:color w:val="6E6158"/>
          <w:spacing w:val="30"/>
        </w:rPr>
        <w:t> </w:t>
      </w:r>
      <w:r>
        <w:rPr>
          <w:color w:val="6E6158"/>
        </w:rPr>
        <w:t>risks</w:t>
      </w:r>
      <w:r>
        <w:rPr>
          <w:color w:val="6E6158"/>
          <w:spacing w:val="30"/>
        </w:rPr>
        <w:t> </w:t>
      </w:r>
      <w:r>
        <w:rPr>
          <w:color w:val="6E6158"/>
        </w:rPr>
        <w:t>in</w:t>
      </w:r>
      <w:r>
        <w:rPr>
          <w:color w:val="6E6158"/>
          <w:spacing w:val="30"/>
        </w:rPr>
        <w:t> </w:t>
      </w:r>
      <w:r>
        <w:rPr>
          <w:color w:val="6E6158"/>
        </w:rPr>
        <w:t>clear</w:t>
      </w:r>
      <w:r>
        <w:rPr>
          <w:color w:val="6E6158"/>
          <w:spacing w:val="30"/>
        </w:rPr>
        <w:t> </w:t>
      </w:r>
      <w:r>
        <w:rPr>
          <w:color w:val="6E6158"/>
        </w:rPr>
        <w:t>terms,</w:t>
      </w:r>
      <w:r>
        <w:rPr>
          <w:color w:val="6E6158"/>
          <w:spacing w:val="30"/>
        </w:rPr>
        <w:t> </w:t>
      </w:r>
      <w:r>
        <w:rPr>
          <w:color w:val="6E6158"/>
        </w:rPr>
        <w:t>and</w:t>
      </w:r>
      <w:r>
        <w:rPr>
          <w:color w:val="6E6158"/>
          <w:spacing w:val="30"/>
        </w:rPr>
        <w:t> </w:t>
      </w:r>
      <w:r>
        <w:rPr>
          <w:color w:val="6E6158"/>
        </w:rPr>
        <w:t>identifies</w:t>
      </w:r>
      <w:r>
        <w:rPr>
          <w:color w:val="6E6158"/>
          <w:spacing w:val="30"/>
        </w:rPr>
        <w:t> </w:t>
      </w:r>
      <w:r>
        <w:rPr>
          <w:color w:val="6E6158"/>
        </w:rPr>
        <w:t>the</w:t>
      </w:r>
      <w:r>
        <w:rPr>
          <w:color w:val="6E6158"/>
          <w:spacing w:val="30"/>
        </w:rPr>
        <w:t> </w:t>
      </w:r>
      <w:r>
        <w:rPr>
          <w:color w:val="6E6158"/>
        </w:rPr>
        <w:t>documentation</w:t>
      </w:r>
      <w:r>
        <w:rPr>
          <w:color w:val="6E6158"/>
          <w:spacing w:val="30"/>
        </w:rPr>
        <w:t> </w:t>
      </w:r>
      <w:r>
        <w:rPr>
          <w:color w:val="6E6158"/>
        </w:rPr>
        <w:t>and</w:t>
      </w:r>
    </w:p>
    <w:p>
      <w:pPr>
        <w:pStyle w:val="BodyText"/>
        <w:spacing w:before="2"/>
      </w:pPr>
      <w:r>
        <w:rPr>
          <w:color w:val="6E6158"/>
        </w:rPr>
        <w:t>next</w:t>
      </w:r>
      <w:r>
        <w:rPr>
          <w:color w:val="6E6158"/>
          <w:spacing w:val="12"/>
        </w:rPr>
        <w:t> </w:t>
      </w:r>
      <w:r>
        <w:rPr>
          <w:color w:val="6E6158"/>
        </w:rPr>
        <w:t>steps</w:t>
      </w:r>
      <w:r>
        <w:rPr>
          <w:color w:val="6E6158"/>
          <w:spacing w:val="12"/>
        </w:rPr>
        <w:t> </w:t>
      </w:r>
      <w:r>
        <w:rPr>
          <w:color w:val="6E6158"/>
        </w:rPr>
        <w:t>needed</w:t>
      </w:r>
      <w:r>
        <w:rPr>
          <w:color w:val="6E6158"/>
          <w:spacing w:val="12"/>
        </w:rPr>
        <w:t> </w:t>
      </w:r>
      <w:r>
        <w:rPr>
          <w:color w:val="6E6158"/>
        </w:rPr>
        <w:t>to</w:t>
      </w:r>
      <w:r>
        <w:rPr>
          <w:color w:val="6E6158"/>
          <w:spacing w:val="12"/>
        </w:rPr>
        <w:t> </w:t>
      </w:r>
      <w:r>
        <w:rPr>
          <w:color w:val="6E6158"/>
        </w:rPr>
        <w:t>move</w:t>
      </w:r>
      <w:r>
        <w:rPr>
          <w:color w:val="6E6158"/>
          <w:spacing w:val="13"/>
        </w:rPr>
        <w:t> </w:t>
      </w:r>
      <w:r>
        <w:rPr>
          <w:color w:val="6E6158"/>
        </w:rPr>
        <w:t>the</w:t>
      </w:r>
      <w:r>
        <w:rPr>
          <w:color w:val="6E6158"/>
          <w:spacing w:val="12"/>
        </w:rPr>
        <w:t> </w:t>
      </w:r>
      <w:r>
        <w:rPr>
          <w:color w:val="6E6158"/>
        </w:rPr>
        <w:t>matter</w:t>
      </w:r>
      <w:r>
        <w:rPr>
          <w:color w:val="6E6158"/>
          <w:spacing w:val="12"/>
        </w:rPr>
        <w:t> </w:t>
      </w:r>
      <w:r>
        <w:rPr>
          <w:color w:val="6E6158"/>
        </w:rPr>
        <w:t>forward.</w:t>
      </w:r>
      <w:r>
        <w:rPr>
          <w:color w:val="6E6158"/>
          <w:spacing w:val="12"/>
        </w:rPr>
        <w:t> </w:t>
      </w:r>
      <w:r>
        <w:rPr>
          <w:color w:val="6E6158"/>
        </w:rPr>
        <w:t>Her</w:t>
      </w:r>
      <w:r>
        <w:rPr>
          <w:color w:val="6E6158"/>
          <w:spacing w:val="13"/>
        </w:rPr>
        <w:t> </w:t>
      </w:r>
      <w:r>
        <w:rPr>
          <w:color w:val="6E6158"/>
        </w:rPr>
        <w:t>approach</w:t>
      </w:r>
      <w:r>
        <w:rPr>
          <w:color w:val="6E6158"/>
          <w:spacing w:val="12"/>
        </w:rPr>
        <w:t> </w:t>
      </w:r>
      <w:r>
        <w:rPr>
          <w:color w:val="6E6158"/>
        </w:rPr>
        <w:t>emphasizes</w:t>
      </w:r>
      <w:r>
        <w:rPr>
          <w:color w:val="6E6158"/>
          <w:spacing w:val="12"/>
        </w:rPr>
        <w:t> </w:t>
      </w:r>
      <w:r>
        <w:rPr>
          <w:color w:val="6E6158"/>
          <w:spacing w:val="-2"/>
        </w:rPr>
        <w:t>responsiveness,</w:t>
      </w:r>
    </w:p>
    <w:p>
      <w:pPr>
        <w:pStyle w:val="BodyText"/>
        <w:spacing w:line="302" w:lineRule="auto" w:before="51"/>
        <w:ind w:right="600"/>
      </w:pPr>
      <w:r>
        <w:rPr>
          <w:color w:val="6E6158"/>
        </w:rPr>
        <w:t>realistic expectations, and solutions that account for both legal requirements and </w:t>
      </w:r>
      <w:r>
        <w:rPr>
          <w:color w:val="6E6158"/>
        </w:rPr>
        <w:t>operational</w:t>
      </w:r>
      <w:r>
        <w:rPr>
          <w:color w:val="6E6158"/>
          <w:spacing w:val="40"/>
        </w:rPr>
        <w:t> </w:t>
      </w:r>
      <w:r>
        <w:rPr>
          <w:color w:val="6E6158"/>
          <w:spacing w:val="-2"/>
        </w:rPr>
        <w:t>impact.</w:t>
      </w:r>
    </w:p>
    <w:p>
      <w:pPr>
        <w:pStyle w:val="Heading2"/>
      </w:pPr>
      <w:r>
        <w:rPr>
          <w:color w:val="6E6158"/>
        </w:rPr>
        <w:t>FOR</w:t>
      </w:r>
      <w:r>
        <w:rPr>
          <w:color w:val="6E6158"/>
          <w:spacing w:val="15"/>
        </w:rPr>
        <w:t> </w:t>
      </w:r>
      <w:r>
        <w:rPr>
          <w:color w:val="6E6158"/>
        </w:rPr>
        <w:t>EMPLOYERS</w:t>
      </w:r>
      <w:r>
        <w:rPr>
          <w:color w:val="6E6158"/>
          <w:spacing w:val="16"/>
        </w:rPr>
        <w:t> </w:t>
      </w:r>
      <w:r>
        <w:rPr>
          <w:color w:val="6E6158"/>
        </w:rPr>
        <w:t>AND</w:t>
      </w:r>
      <w:r>
        <w:rPr>
          <w:color w:val="6E6158"/>
          <w:spacing w:val="16"/>
        </w:rPr>
        <w:t> </w:t>
      </w:r>
      <w:r>
        <w:rPr>
          <w:color w:val="6E6158"/>
        </w:rPr>
        <w:t>CORPORATE</w:t>
      </w:r>
      <w:r>
        <w:rPr>
          <w:color w:val="6E6158"/>
          <w:spacing w:val="15"/>
        </w:rPr>
        <w:t> </w:t>
      </w:r>
      <w:r>
        <w:rPr>
          <w:color w:val="6E6158"/>
          <w:spacing w:val="-2"/>
        </w:rPr>
        <w:t>CLIENTS</w:t>
      </w:r>
    </w:p>
    <w:p>
      <w:pPr>
        <w:pStyle w:val="BodyText"/>
        <w:spacing w:before="14"/>
        <w:ind w:left="0"/>
        <w:rPr>
          <w:b/>
        </w:rPr>
      </w:pPr>
    </w:p>
    <w:p>
      <w:pPr>
        <w:pStyle w:val="BodyText"/>
        <w:spacing w:line="297" w:lineRule="auto" w:before="1"/>
        <w:ind w:right="771"/>
      </w:pPr>
      <w:r>
        <w:rPr>
          <w:color w:val="6E6158"/>
        </w:rPr>
        <w:t>Catherine</w:t>
      </w:r>
      <w:r>
        <w:rPr>
          <w:color w:val="6E6158"/>
          <w:spacing w:val="26"/>
        </w:rPr>
        <w:t> </w:t>
      </w:r>
      <w:r>
        <w:rPr>
          <w:color w:val="6E6158"/>
        </w:rPr>
        <w:t>advises</w:t>
      </w:r>
      <w:r>
        <w:rPr>
          <w:color w:val="6E6158"/>
          <w:spacing w:val="26"/>
        </w:rPr>
        <w:t> </w:t>
      </w:r>
      <w:r>
        <w:rPr>
          <w:color w:val="6E6158"/>
        </w:rPr>
        <w:t>businesses</w:t>
      </w:r>
      <w:r>
        <w:rPr>
          <w:color w:val="6E6158"/>
          <w:spacing w:val="26"/>
        </w:rPr>
        <w:t> </w:t>
      </w:r>
      <w:r>
        <w:rPr>
          <w:color w:val="6E6158"/>
        </w:rPr>
        <w:t>on</w:t>
      </w:r>
      <w:r>
        <w:rPr>
          <w:color w:val="6E6158"/>
          <w:spacing w:val="26"/>
        </w:rPr>
        <w:t> </w:t>
      </w:r>
      <w:r>
        <w:rPr>
          <w:color w:val="6E6158"/>
        </w:rPr>
        <w:t>immigration-related</w:t>
      </w:r>
      <w:r>
        <w:rPr>
          <w:color w:val="6E6158"/>
          <w:spacing w:val="26"/>
        </w:rPr>
        <w:t> </w:t>
      </w:r>
      <w:r>
        <w:rPr>
          <w:color w:val="6E6158"/>
        </w:rPr>
        <w:t>employment</w:t>
      </w:r>
      <w:r>
        <w:rPr>
          <w:color w:val="6E6158"/>
          <w:spacing w:val="26"/>
        </w:rPr>
        <w:t> </w:t>
      </w:r>
      <w:r>
        <w:rPr>
          <w:color w:val="6E6158"/>
        </w:rPr>
        <w:t>matters,</w:t>
      </w:r>
      <w:r>
        <w:rPr>
          <w:color w:val="6E6158"/>
          <w:spacing w:val="26"/>
        </w:rPr>
        <w:t> </w:t>
      </w:r>
      <w:r>
        <w:rPr>
          <w:color w:val="6E6158"/>
        </w:rPr>
        <w:t>from</w:t>
      </w:r>
      <w:r>
        <w:rPr>
          <w:color w:val="6E6158"/>
          <w:spacing w:val="26"/>
        </w:rPr>
        <w:t> </w:t>
      </w:r>
      <w:r>
        <w:rPr>
          <w:color w:val="6E6158"/>
        </w:rPr>
        <w:t>employment-based visa petitions to I-9 compliance. She helps employers understand how immigration</w:t>
      </w:r>
      <w:r>
        <w:rPr>
          <w:color w:val="6E6158"/>
          <w:spacing w:val="40"/>
        </w:rPr>
        <w:t> </w:t>
      </w:r>
      <w:r>
        <w:rPr>
          <w:color w:val="6E6158"/>
        </w:rPr>
        <w:t>requirements affect hiring, onboarding, continued employment, and compliance </w:t>
      </w:r>
      <w:r>
        <w:rPr>
          <w:color w:val="6E6158"/>
        </w:rPr>
        <w:t>obligations.</w:t>
      </w:r>
      <w:r>
        <w:rPr>
          <w:color w:val="6E6158"/>
          <w:spacing w:val="40"/>
        </w:rPr>
        <w:t> </w:t>
      </w:r>
      <w:r>
        <w:rPr>
          <w:color w:val="6E6158"/>
        </w:rPr>
        <w:t>Her guidance is designed to give business leaders and human resources professionals clear</w:t>
      </w:r>
      <w:r>
        <w:rPr>
          <w:color w:val="6E6158"/>
          <w:spacing w:val="40"/>
        </w:rPr>
        <w:t> </w:t>
      </w:r>
      <w:r>
        <w:rPr>
          <w:color w:val="6E6158"/>
        </w:rPr>
        <w:t>action items, reduce avoidable disruption, and keep immigration strategy aligned with the</w:t>
      </w:r>
      <w:r>
        <w:rPr>
          <w:color w:val="6E6158"/>
          <w:spacing w:val="40"/>
        </w:rPr>
        <w:t> </w:t>
      </w:r>
      <w:r>
        <w:rPr>
          <w:color w:val="6E6158"/>
        </w:rPr>
        <w:t>organization’s broader business needs.</w:t>
      </w:r>
    </w:p>
    <w:p>
      <w:pPr>
        <w:pStyle w:val="BodyText"/>
        <w:spacing w:before="187"/>
      </w:pPr>
      <w:r>
        <w:rPr>
          <w:color w:val="6E6158"/>
        </w:rPr>
        <w:t>Catherine</w:t>
      </w:r>
      <w:r>
        <w:rPr>
          <w:color w:val="6E6158"/>
          <w:spacing w:val="17"/>
        </w:rPr>
        <w:t> </w:t>
      </w:r>
      <w:r>
        <w:rPr>
          <w:color w:val="6E6158"/>
        </w:rPr>
        <w:t>also</w:t>
      </w:r>
      <w:r>
        <w:rPr>
          <w:color w:val="6E6158"/>
          <w:spacing w:val="17"/>
        </w:rPr>
        <w:t> </w:t>
      </w:r>
      <w:r>
        <w:rPr>
          <w:color w:val="6E6158"/>
        </w:rPr>
        <w:t>writes</w:t>
      </w:r>
      <w:r>
        <w:rPr>
          <w:color w:val="6E6158"/>
          <w:spacing w:val="17"/>
        </w:rPr>
        <w:t> </w:t>
      </w:r>
      <w:r>
        <w:rPr>
          <w:color w:val="6E6158"/>
        </w:rPr>
        <w:t>regularly</w:t>
      </w:r>
      <w:r>
        <w:rPr>
          <w:color w:val="6E6158"/>
          <w:spacing w:val="17"/>
        </w:rPr>
        <w:t> </w:t>
      </w:r>
      <w:r>
        <w:rPr>
          <w:color w:val="6E6158"/>
        </w:rPr>
        <w:t>about</w:t>
      </w:r>
      <w:r>
        <w:rPr>
          <w:color w:val="6E6158"/>
          <w:spacing w:val="17"/>
        </w:rPr>
        <w:t> </w:t>
      </w:r>
      <w:r>
        <w:rPr>
          <w:color w:val="6E6158"/>
        </w:rPr>
        <w:t>developments</w:t>
      </w:r>
      <w:r>
        <w:rPr>
          <w:color w:val="6E6158"/>
          <w:spacing w:val="17"/>
        </w:rPr>
        <w:t> </w:t>
      </w:r>
      <w:r>
        <w:rPr>
          <w:color w:val="6E6158"/>
        </w:rPr>
        <w:t>affecting</w:t>
      </w:r>
      <w:r>
        <w:rPr>
          <w:color w:val="6E6158"/>
          <w:spacing w:val="17"/>
        </w:rPr>
        <w:t> </w:t>
      </w:r>
      <w:r>
        <w:rPr>
          <w:color w:val="6E6158"/>
        </w:rPr>
        <w:t>employers</w:t>
      </w:r>
      <w:r>
        <w:rPr>
          <w:color w:val="6E6158"/>
          <w:spacing w:val="18"/>
        </w:rPr>
        <w:t> </w:t>
      </w:r>
      <w:r>
        <w:rPr>
          <w:color w:val="6E6158"/>
        </w:rPr>
        <w:t>and</w:t>
      </w:r>
      <w:r>
        <w:rPr>
          <w:color w:val="6E6158"/>
          <w:spacing w:val="17"/>
        </w:rPr>
        <w:t> </w:t>
      </w:r>
      <w:r>
        <w:rPr>
          <w:color w:val="6E6158"/>
        </w:rPr>
        <w:t>foreign-</w:t>
      </w:r>
      <w:r>
        <w:rPr>
          <w:color w:val="6E6158"/>
          <w:spacing w:val="-2"/>
        </w:rPr>
        <w:t>national</w:t>
      </w:r>
    </w:p>
    <w:p>
      <w:pPr>
        <w:pStyle w:val="BodyText"/>
        <w:spacing w:line="295" w:lineRule="auto" w:before="52"/>
        <w:ind w:right="600"/>
      </w:pPr>
      <w:r>
        <w:rPr>
          <w:color w:val="6E6158"/>
        </w:rPr>
        <w:t>employees, including H-1B policy, USCIS site visits, immigration onboarding, adjustment of </w:t>
      </w:r>
      <w:r>
        <w:rPr>
          <w:color w:val="6E6158"/>
        </w:rPr>
        <w:t>status,</w:t>
      </w:r>
      <w:r>
        <w:rPr>
          <w:color w:val="6E6158"/>
          <w:spacing w:val="40"/>
        </w:rPr>
        <w:t> </w:t>
      </w:r>
      <w:r>
        <w:rPr>
          <w:color w:val="6E6158"/>
        </w:rPr>
        <w:t>and changes in federal immigration policy. Her work reflects a sustained focus on helping</w:t>
      </w:r>
      <w:r>
        <w:rPr>
          <w:color w:val="6E6158"/>
          <w:spacing w:val="40"/>
        </w:rPr>
        <w:t> </w:t>
      </w:r>
      <w:r>
        <w:rPr>
          <w:color w:val="6E6158"/>
        </w:rPr>
        <w:t>employers anticipate rapidly changing requirements and prepare their teams before an issue</w:t>
      </w:r>
      <w:r>
        <w:rPr>
          <w:color w:val="6E6158"/>
          <w:spacing w:val="40"/>
        </w:rPr>
        <w:t> </w:t>
      </w:r>
      <w:r>
        <w:rPr>
          <w:color w:val="6E6158"/>
        </w:rPr>
        <w:t>becomes urgent.</w:t>
      </w:r>
    </w:p>
    <w:p>
      <w:pPr>
        <w:pStyle w:val="Heading2"/>
        <w:spacing w:before="196"/>
      </w:pPr>
      <w:r>
        <w:rPr>
          <w:color w:val="6E6158"/>
        </w:rPr>
        <w:t>A</w:t>
      </w:r>
      <w:r>
        <w:rPr>
          <w:color w:val="6E6158"/>
          <w:spacing w:val="22"/>
        </w:rPr>
        <w:t> </w:t>
      </w:r>
      <w:r>
        <w:rPr>
          <w:color w:val="6E6158"/>
        </w:rPr>
        <w:t>LITIGATION-INFORMED,</w:t>
      </w:r>
      <w:r>
        <w:rPr>
          <w:color w:val="6E6158"/>
          <w:spacing w:val="23"/>
        </w:rPr>
        <w:t> </w:t>
      </w:r>
      <w:r>
        <w:rPr>
          <w:color w:val="6E6158"/>
        </w:rPr>
        <w:t>PRACTICAL</w:t>
      </w:r>
      <w:r>
        <w:rPr>
          <w:color w:val="6E6158"/>
          <w:spacing w:val="22"/>
        </w:rPr>
        <w:t> </w:t>
      </w:r>
      <w:r>
        <w:rPr>
          <w:color w:val="6E6158"/>
          <w:spacing w:val="-2"/>
        </w:rPr>
        <w:t>APPROACH</w:t>
      </w:r>
    </w:p>
    <w:p>
      <w:pPr>
        <w:pStyle w:val="Heading2"/>
        <w:spacing w:after="0"/>
        <w:sectPr>
          <w:type w:val="continuous"/>
          <w:pgSz w:w="12240" w:h="15840"/>
          <w:pgMar w:top="560" w:bottom="280" w:left="1440" w:right="1080"/>
        </w:sectPr>
      </w:pPr>
    </w:p>
    <w:p>
      <w:pPr>
        <w:pStyle w:val="BodyText"/>
        <w:spacing w:line="295" w:lineRule="auto" w:before="83"/>
        <w:ind w:right="799"/>
        <w:jc w:val="both"/>
      </w:pPr>
      <w:r>
        <w:rPr>
          <w:color w:val="6E6158"/>
        </w:rPr>
        <w:t>Before joining Fennemore, Catherine practiced exclusively in immigration law. She previously clerked for Idaho Supreme Court Justice John R. Stegner, where she prepared case analyses, drafted court decisions, and conducted extensive legal research. She also gained </w:t>
      </w:r>
      <w:r>
        <w:rPr>
          <w:color w:val="6E6158"/>
        </w:rPr>
        <w:t>advocacy experience</w:t>
      </w:r>
      <w:r>
        <w:rPr>
          <w:color w:val="6E6158"/>
          <w:spacing w:val="37"/>
        </w:rPr>
        <w:t> </w:t>
      </w:r>
      <w:r>
        <w:rPr>
          <w:color w:val="6E6158"/>
        </w:rPr>
        <w:t>through</w:t>
      </w:r>
      <w:r>
        <w:rPr>
          <w:color w:val="6E6158"/>
          <w:spacing w:val="37"/>
        </w:rPr>
        <w:t> </w:t>
      </w:r>
      <w:r>
        <w:rPr>
          <w:color w:val="6E6158"/>
        </w:rPr>
        <w:t>the</w:t>
      </w:r>
      <w:r>
        <w:rPr>
          <w:color w:val="6E6158"/>
          <w:spacing w:val="37"/>
        </w:rPr>
        <w:t> </w:t>
      </w:r>
      <w:r>
        <w:rPr>
          <w:color w:val="6E6158"/>
        </w:rPr>
        <w:t>University</w:t>
      </w:r>
      <w:r>
        <w:rPr>
          <w:color w:val="6E6158"/>
          <w:spacing w:val="37"/>
        </w:rPr>
        <w:t> </w:t>
      </w:r>
      <w:r>
        <w:rPr>
          <w:color w:val="6E6158"/>
        </w:rPr>
        <w:t>of</w:t>
      </w:r>
      <w:r>
        <w:rPr>
          <w:color w:val="6E6158"/>
          <w:spacing w:val="37"/>
        </w:rPr>
        <w:t> </w:t>
      </w:r>
      <w:r>
        <w:rPr>
          <w:color w:val="6E6158"/>
        </w:rPr>
        <w:t>Idaho</w:t>
      </w:r>
      <w:r>
        <w:rPr>
          <w:color w:val="6E6158"/>
          <w:spacing w:val="37"/>
        </w:rPr>
        <w:t> </w:t>
      </w:r>
      <w:r>
        <w:rPr>
          <w:color w:val="6E6158"/>
        </w:rPr>
        <w:t>Immigration</w:t>
      </w:r>
      <w:r>
        <w:rPr>
          <w:color w:val="6E6158"/>
          <w:spacing w:val="37"/>
        </w:rPr>
        <w:t> </w:t>
      </w:r>
      <w:r>
        <w:rPr>
          <w:color w:val="6E6158"/>
        </w:rPr>
        <w:t>Litigation</w:t>
      </w:r>
      <w:r>
        <w:rPr>
          <w:color w:val="6E6158"/>
          <w:spacing w:val="37"/>
        </w:rPr>
        <w:t> </w:t>
      </w:r>
      <w:r>
        <w:rPr>
          <w:color w:val="6E6158"/>
        </w:rPr>
        <w:t>and</w:t>
      </w:r>
      <w:r>
        <w:rPr>
          <w:color w:val="6E6158"/>
          <w:spacing w:val="37"/>
        </w:rPr>
        <w:t> </w:t>
      </w:r>
      <w:r>
        <w:rPr>
          <w:color w:val="6E6158"/>
        </w:rPr>
        <w:t>Appellate</w:t>
      </w:r>
      <w:r>
        <w:rPr>
          <w:color w:val="6E6158"/>
          <w:spacing w:val="37"/>
        </w:rPr>
        <w:t> </w:t>
      </w:r>
      <w:r>
        <w:rPr>
          <w:color w:val="6E6158"/>
        </w:rPr>
        <w:t>Clinic.</w:t>
      </w:r>
    </w:p>
    <w:p>
      <w:pPr>
        <w:pStyle w:val="BodyText"/>
        <w:spacing w:line="295" w:lineRule="auto" w:before="197"/>
        <w:ind w:right="723"/>
      </w:pPr>
      <w:r>
        <w:rPr>
          <w:color w:val="6E6158"/>
        </w:rPr>
        <w:t>That background informs how Catherine identifies dispositive issues, evaluates evidence,</w:t>
      </w:r>
      <w:r>
        <w:rPr>
          <w:color w:val="6E6158"/>
          <w:spacing w:val="40"/>
        </w:rPr>
        <w:t> </w:t>
      </w:r>
      <w:r>
        <w:rPr>
          <w:color w:val="6E6158"/>
        </w:rPr>
        <w:t>develops the record, and prepares matters for potential agency scrutiny or appellate review.</w:t>
      </w:r>
      <w:r>
        <w:rPr>
          <w:color w:val="6E6158"/>
          <w:spacing w:val="80"/>
        </w:rPr>
        <w:t> </w:t>
      </w:r>
      <w:r>
        <w:rPr>
          <w:color w:val="6E6158"/>
        </w:rPr>
        <w:t>Not every matter requires litigation, but her experience helps her recognize when the factual</w:t>
      </w:r>
      <w:r>
        <w:rPr>
          <w:color w:val="6E6158"/>
          <w:spacing w:val="40"/>
        </w:rPr>
        <w:t> </w:t>
      </w:r>
      <w:r>
        <w:rPr>
          <w:color w:val="6E6158"/>
        </w:rPr>
        <w:t>record, procedural posture, or preservation of an issue may affect the client’s options later. She</w:t>
      </w:r>
      <w:r>
        <w:rPr>
          <w:color w:val="6E6158"/>
          <w:spacing w:val="40"/>
        </w:rPr>
        <w:t> </w:t>
      </w:r>
      <w:r>
        <w:rPr>
          <w:color w:val="6E6158"/>
        </w:rPr>
        <w:t>has</w:t>
      </w:r>
      <w:r>
        <w:rPr>
          <w:color w:val="6E6158"/>
          <w:spacing w:val="30"/>
        </w:rPr>
        <w:t> </w:t>
      </w:r>
      <w:r>
        <w:rPr>
          <w:color w:val="6E6158"/>
        </w:rPr>
        <w:t>represented</w:t>
      </w:r>
      <w:r>
        <w:rPr>
          <w:color w:val="6E6158"/>
          <w:spacing w:val="30"/>
        </w:rPr>
        <w:t> </w:t>
      </w:r>
      <w:r>
        <w:rPr>
          <w:color w:val="6E6158"/>
        </w:rPr>
        <w:t>a</w:t>
      </w:r>
      <w:r>
        <w:rPr>
          <w:color w:val="6E6158"/>
          <w:spacing w:val="30"/>
        </w:rPr>
        <w:t> </w:t>
      </w:r>
      <w:r>
        <w:rPr>
          <w:color w:val="6E6158"/>
        </w:rPr>
        <w:t>detained</w:t>
      </w:r>
      <w:r>
        <w:rPr>
          <w:color w:val="6E6158"/>
          <w:spacing w:val="30"/>
        </w:rPr>
        <w:t> </w:t>
      </w:r>
      <w:r>
        <w:rPr>
          <w:color w:val="6E6158"/>
        </w:rPr>
        <w:t>asylum</w:t>
      </w:r>
      <w:r>
        <w:rPr>
          <w:color w:val="6E6158"/>
          <w:spacing w:val="30"/>
        </w:rPr>
        <w:t> </w:t>
      </w:r>
      <w:r>
        <w:rPr>
          <w:color w:val="6E6158"/>
        </w:rPr>
        <w:t>seeker</w:t>
      </w:r>
      <w:r>
        <w:rPr>
          <w:color w:val="6E6158"/>
          <w:spacing w:val="30"/>
        </w:rPr>
        <w:t> </w:t>
      </w:r>
      <w:r>
        <w:rPr>
          <w:color w:val="6E6158"/>
        </w:rPr>
        <w:t>through</w:t>
      </w:r>
      <w:r>
        <w:rPr>
          <w:color w:val="6E6158"/>
          <w:spacing w:val="30"/>
        </w:rPr>
        <w:t> </w:t>
      </w:r>
      <w:r>
        <w:rPr>
          <w:color w:val="6E6158"/>
        </w:rPr>
        <w:t>the</w:t>
      </w:r>
      <w:r>
        <w:rPr>
          <w:color w:val="6E6158"/>
          <w:spacing w:val="30"/>
        </w:rPr>
        <w:t> </w:t>
      </w:r>
      <w:r>
        <w:rPr>
          <w:color w:val="6E6158"/>
        </w:rPr>
        <w:t>Ninth</w:t>
      </w:r>
      <w:r>
        <w:rPr>
          <w:color w:val="6E6158"/>
          <w:spacing w:val="30"/>
        </w:rPr>
        <w:t> </w:t>
      </w:r>
      <w:r>
        <w:rPr>
          <w:color w:val="6E6158"/>
        </w:rPr>
        <w:t>Circuit</w:t>
      </w:r>
      <w:r>
        <w:rPr>
          <w:color w:val="6E6158"/>
          <w:spacing w:val="30"/>
        </w:rPr>
        <w:t> </w:t>
      </w:r>
      <w:r>
        <w:rPr>
          <w:color w:val="6E6158"/>
        </w:rPr>
        <w:t>Pro</w:t>
      </w:r>
      <w:r>
        <w:rPr>
          <w:color w:val="6E6158"/>
          <w:spacing w:val="30"/>
        </w:rPr>
        <w:t> </w:t>
      </w:r>
      <w:r>
        <w:rPr>
          <w:color w:val="6E6158"/>
        </w:rPr>
        <w:t>Bono</w:t>
      </w:r>
      <w:r>
        <w:rPr>
          <w:color w:val="6E6158"/>
          <w:spacing w:val="30"/>
        </w:rPr>
        <w:t> </w:t>
      </w:r>
      <w:r>
        <w:rPr>
          <w:color w:val="6E6158"/>
        </w:rPr>
        <w:t>Program.</w:t>
      </w:r>
    </w:p>
    <w:p>
      <w:pPr>
        <w:pStyle w:val="BodyText"/>
        <w:spacing w:line="297" w:lineRule="auto" w:before="195"/>
        <w:ind w:right="565"/>
      </w:pPr>
      <w:r>
        <w:rPr>
          <w:color w:val="6E6158"/>
        </w:rPr>
        <w:t>Catherine is also an adjunct instructor at the University of Idaho College of Law, where she</w:t>
      </w:r>
      <w:r>
        <w:rPr>
          <w:color w:val="6E6158"/>
          <w:spacing w:val="40"/>
        </w:rPr>
        <w:t> </w:t>
      </w:r>
      <w:r>
        <w:rPr>
          <w:color w:val="6E6158"/>
        </w:rPr>
        <w:t>teaches legal reasoning and bar preparation strategies. Her teaching experience reinforces a</w:t>
      </w:r>
      <w:r>
        <w:rPr>
          <w:color w:val="6E6158"/>
          <w:spacing w:val="40"/>
        </w:rPr>
        <w:t> </w:t>
      </w:r>
      <w:r>
        <w:rPr>
          <w:color w:val="6E6158"/>
        </w:rPr>
        <w:t>central</w:t>
      </w:r>
      <w:r>
        <w:rPr>
          <w:color w:val="6E6158"/>
          <w:spacing w:val="15"/>
        </w:rPr>
        <w:t> </w:t>
      </w:r>
      <w:r>
        <w:rPr>
          <w:color w:val="6E6158"/>
        </w:rPr>
        <w:t>feature</w:t>
      </w:r>
      <w:r>
        <w:rPr>
          <w:color w:val="6E6158"/>
          <w:spacing w:val="15"/>
        </w:rPr>
        <w:t> </w:t>
      </w:r>
      <w:r>
        <w:rPr>
          <w:color w:val="6E6158"/>
        </w:rPr>
        <w:t>of</w:t>
      </w:r>
      <w:r>
        <w:rPr>
          <w:color w:val="6E6158"/>
          <w:spacing w:val="15"/>
        </w:rPr>
        <w:t> </w:t>
      </w:r>
      <w:r>
        <w:rPr>
          <w:color w:val="6E6158"/>
        </w:rPr>
        <w:t>her</w:t>
      </w:r>
      <w:r>
        <w:rPr>
          <w:color w:val="6E6158"/>
          <w:spacing w:val="15"/>
        </w:rPr>
        <w:t> </w:t>
      </w:r>
      <w:r>
        <w:rPr>
          <w:color w:val="6E6158"/>
        </w:rPr>
        <w:t>practice:</w:t>
      </w:r>
      <w:r>
        <w:rPr>
          <w:color w:val="6E6158"/>
          <w:spacing w:val="15"/>
        </w:rPr>
        <w:t> </w:t>
      </w:r>
      <w:r>
        <w:rPr>
          <w:color w:val="6E6158"/>
        </w:rPr>
        <w:t>translating</w:t>
      </w:r>
      <w:r>
        <w:rPr>
          <w:color w:val="6E6158"/>
          <w:spacing w:val="15"/>
        </w:rPr>
        <w:t> </w:t>
      </w:r>
      <w:r>
        <w:rPr>
          <w:color w:val="6E6158"/>
        </w:rPr>
        <w:t>complex</w:t>
      </w:r>
      <w:r>
        <w:rPr>
          <w:color w:val="6E6158"/>
          <w:spacing w:val="15"/>
        </w:rPr>
        <w:t> </w:t>
      </w:r>
      <w:r>
        <w:rPr>
          <w:color w:val="6E6158"/>
        </w:rPr>
        <w:t>legal</w:t>
      </w:r>
      <w:r>
        <w:rPr>
          <w:color w:val="6E6158"/>
          <w:spacing w:val="15"/>
        </w:rPr>
        <w:t> </w:t>
      </w:r>
      <w:r>
        <w:rPr>
          <w:color w:val="6E6158"/>
        </w:rPr>
        <w:t>standards</w:t>
      </w:r>
      <w:r>
        <w:rPr>
          <w:color w:val="6E6158"/>
          <w:spacing w:val="15"/>
        </w:rPr>
        <w:t> </w:t>
      </w:r>
      <w:r>
        <w:rPr>
          <w:color w:val="6E6158"/>
        </w:rPr>
        <w:t>into</w:t>
      </w:r>
      <w:r>
        <w:rPr>
          <w:color w:val="6E6158"/>
          <w:spacing w:val="15"/>
        </w:rPr>
        <w:t> </w:t>
      </w:r>
      <w:r>
        <w:rPr>
          <w:color w:val="6E6158"/>
        </w:rPr>
        <w:t>clear,</w:t>
      </w:r>
      <w:r>
        <w:rPr>
          <w:color w:val="6E6158"/>
          <w:spacing w:val="15"/>
        </w:rPr>
        <w:t> </w:t>
      </w:r>
      <w:r>
        <w:rPr>
          <w:color w:val="6E6158"/>
        </w:rPr>
        <w:t>usable</w:t>
      </w:r>
      <w:r>
        <w:rPr>
          <w:color w:val="6E6158"/>
          <w:spacing w:val="15"/>
        </w:rPr>
        <w:t> </w:t>
      </w:r>
      <w:r>
        <w:rPr>
          <w:color w:val="6E6158"/>
        </w:rPr>
        <w:t>guidance.</w:t>
      </w:r>
    </w:p>
    <w:p>
      <w:pPr>
        <w:pStyle w:val="BodyText"/>
        <w:spacing w:line="292" w:lineRule="auto" w:before="191"/>
        <w:ind w:right="706"/>
      </w:pPr>
      <w:r>
        <w:rPr>
          <w:color w:val="6E6158"/>
        </w:rPr>
        <w:t>Catherine is admitted to practice in Idaho and Washington, the U.S. District Court for the District</w:t>
      </w:r>
      <w:r>
        <w:rPr>
          <w:color w:val="6E6158"/>
          <w:spacing w:val="80"/>
        </w:rPr>
        <w:t> </w:t>
      </w:r>
      <w:r>
        <w:rPr>
          <w:color w:val="6E6158"/>
        </w:rPr>
        <w:t>of Idaho, and the U.S. Court of Appeals for the Ninth Circuit.</w:t>
      </w:r>
    </w:p>
    <w:p>
      <w:pPr>
        <w:pStyle w:val="Heading1"/>
        <w:spacing w:before="171"/>
      </w:pPr>
      <w:r>
        <w:rPr>
          <w:color w:val="FF8100"/>
          <w:spacing w:val="-2"/>
        </w:rPr>
        <w:t>EDUCATION</w:t>
      </w:r>
    </w:p>
    <w:p>
      <w:pPr>
        <w:pStyle w:val="BodyText"/>
        <w:spacing w:before="17"/>
        <w:ind w:left="0"/>
        <w:rPr>
          <w:b/>
        </w:rPr>
      </w:pPr>
    </w:p>
    <w:p>
      <w:pPr>
        <w:pStyle w:val="BodyText"/>
        <w:spacing w:before="0"/>
        <w:rPr>
          <w:i/>
          <w:sz w:val="20"/>
        </w:rPr>
      </w:pPr>
      <w:r>
        <w:rPr>
          <w:color w:val="6E6158"/>
        </w:rPr>
        <w:t>J.D.,</w:t>
      </w:r>
      <w:r>
        <w:rPr>
          <w:color w:val="6E6158"/>
          <w:spacing w:val="7"/>
        </w:rPr>
        <w:t> </w:t>
      </w:r>
      <w:r>
        <w:rPr>
          <w:color w:val="6E6158"/>
        </w:rPr>
        <w:t>University</w:t>
      </w:r>
      <w:r>
        <w:rPr>
          <w:color w:val="6E6158"/>
          <w:spacing w:val="8"/>
        </w:rPr>
        <w:t> </w:t>
      </w:r>
      <w:r>
        <w:rPr>
          <w:color w:val="6E6158"/>
        </w:rPr>
        <w:t>of</w:t>
      </w:r>
      <w:r>
        <w:rPr>
          <w:color w:val="6E6158"/>
          <w:spacing w:val="7"/>
        </w:rPr>
        <w:t> </w:t>
      </w:r>
      <w:r>
        <w:rPr>
          <w:color w:val="6E6158"/>
        </w:rPr>
        <w:t>Idaho</w:t>
      </w:r>
      <w:r>
        <w:rPr>
          <w:color w:val="6E6158"/>
          <w:spacing w:val="8"/>
        </w:rPr>
        <w:t> </w:t>
      </w:r>
      <w:r>
        <w:rPr>
          <w:color w:val="6E6158"/>
        </w:rPr>
        <w:t>College</w:t>
      </w:r>
      <w:r>
        <w:rPr>
          <w:color w:val="6E6158"/>
          <w:spacing w:val="8"/>
        </w:rPr>
        <w:t> </w:t>
      </w:r>
      <w:r>
        <w:rPr>
          <w:color w:val="6E6158"/>
        </w:rPr>
        <w:t>of</w:t>
      </w:r>
      <w:r>
        <w:rPr>
          <w:color w:val="6E6158"/>
          <w:spacing w:val="7"/>
        </w:rPr>
        <w:t> </w:t>
      </w:r>
      <w:r>
        <w:rPr>
          <w:color w:val="6E6158"/>
        </w:rPr>
        <w:t>Law,</w:t>
      </w:r>
      <w:r>
        <w:rPr>
          <w:color w:val="6E6158"/>
          <w:spacing w:val="8"/>
        </w:rPr>
        <w:t> </w:t>
      </w:r>
      <w:r>
        <w:rPr>
          <w:i/>
          <w:color w:val="6E6158"/>
          <w:sz w:val="20"/>
        </w:rPr>
        <w:t>cum</w:t>
      </w:r>
      <w:r>
        <w:rPr>
          <w:i/>
          <w:color w:val="6E6158"/>
          <w:spacing w:val="4"/>
          <w:sz w:val="20"/>
        </w:rPr>
        <w:t> </w:t>
      </w:r>
      <w:r>
        <w:rPr>
          <w:i/>
          <w:color w:val="6E6158"/>
          <w:spacing w:val="-2"/>
          <w:sz w:val="20"/>
        </w:rPr>
        <w:t>laude</w:t>
      </w:r>
    </w:p>
    <w:p>
      <w:pPr>
        <w:pStyle w:val="BodyText"/>
        <w:spacing w:line="420" w:lineRule="auto" w:before="147"/>
        <w:ind w:left="343" w:right="3683"/>
      </w:pPr>
      <w:r>
        <w:rPr>
          <w:color w:val="6E6158"/>
        </w:rPr>
        <w:t>CALI Awards: Immigration Law &amp; Policy, Immigration </w:t>
      </w:r>
      <w:r>
        <w:rPr>
          <w:color w:val="6E6158"/>
        </w:rPr>
        <w:t>Clinic Best Student Brief, Idaho Trial Lawyers Association</w:t>
      </w:r>
    </w:p>
    <w:p>
      <w:pPr>
        <w:pStyle w:val="BodyText"/>
        <w:spacing w:before="7"/>
        <w:ind w:left="343"/>
      </w:pPr>
      <w:r>
        <w:rPr>
          <w:color w:val="6E6158"/>
        </w:rPr>
        <w:t>Best</w:t>
      </w:r>
      <w:r>
        <w:rPr>
          <w:color w:val="6E6158"/>
          <w:spacing w:val="12"/>
        </w:rPr>
        <w:t> </w:t>
      </w:r>
      <w:r>
        <w:rPr>
          <w:color w:val="6E6158"/>
        </w:rPr>
        <w:t>Oral</w:t>
      </w:r>
      <w:r>
        <w:rPr>
          <w:color w:val="6E6158"/>
          <w:spacing w:val="13"/>
        </w:rPr>
        <w:t> </w:t>
      </w:r>
      <w:r>
        <w:rPr>
          <w:color w:val="6E6158"/>
        </w:rPr>
        <w:t>Advocate,</w:t>
      </w:r>
      <w:r>
        <w:rPr>
          <w:color w:val="6E6158"/>
          <w:spacing w:val="13"/>
        </w:rPr>
        <w:t> </w:t>
      </w:r>
      <w:r>
        <w:rPr>
          <w:color w:val="6E6158"/>
        </w:rPr>
        <w:t>Civ.</w:t>
      </w:r>
      <w:r>
        <w:rPr>
          <w:color w:val="6E6158"/>
          <w:spacing w:val="13"/>
        </w:rPr>
        <w:t> </w:t>
      </w:r>
      <w:r>
        <w:rPr>
          <w:color w:val="6E6158"/>
        </w:rPr>
        <w:t>Pro.</w:t>
      </w:r>
      <w:r>
        <w:rPr>
          <w:color w:val="6E6158"/>
          <w:spacing w:val="12"/>
        </w:rPr>
        <w:t> </w:t>
      </w:r>
      <w:r>
        <w:rPr>
          <w:color w:val="6E6158"/>
        </w:rPr>
        <w:t>Subject</w:t>
      </w:r>
      <w:r>
        <w:rPr>
          <w:color w:val="6E6158"/>
          <w:spacing w:val="13"/>
        </w:rPr>
        <w:t> </w:t>
      </w:r>
      <w:r>
        <w:rPr>
          <w:color w:val="6E6158"/>
        </w:rPr>
        <w:t>Matter</w:t>
      </w:r>
      <w:r>
        <w:rPr>
          <w:color w:val="6E6158"/>
          <w:spacing w:val="13"/>
        </w:rPr>
        <w:t> </w:t>
      </w:r>
      <w:r>
        <w:rPr>
          <w:color w:val="6E6158"/>
        </w:rPr>
        <w:t>Jurisdiction</w:t>
      </w:r>
      <w:r>
        <w:rPr>
          <w:color w:val="6E6158"/>
          <w:spacing w:val="13"/>
        </w:rPr>
        <w:t> </w:t>
      </w:r>
      <w:r>
        <w:rPr>
          <w:color w:val="6E6158"/>
          <w:spacing w:val="-2"/>
        </w:rPr>
        <w:t>Smackdown</w:t>
      </w:r>
    </w:p>
    <w:p>
      <w:pPr>
        <w:pStyle w:val="BodyText"/>
        <w:spacing w:before="174"/>
      </w:pPr>
      <w:r>
        <w:rPr>
          <w:color w:val="6E6158"/>
        </w:rPr>
        <w:t>B.A.</w:t>
      </w:r>
      <w:r>
        <w:rPr>
          <w:color w:val="6E6158"/>
          <w:spacing w:val="13"/>
        </w:rPr>
        <w:t> </w:t>
      </w:r>
      <w:r>
        <w:rPr>
          <w:color w:val="6E6158"/>
        </w:rPr>
        <w:t>French,</w:t>
      </w:r>
      <w:r>
        <w:rPr>
          <w:color w:val="6E6158"/>
          <w:spacing w:val="13"/>
        </w:rPr>
        <w:t> </w:t>
      </w:r>
      <w:r>
        <w:rPr>
          <w:color w:val="6E6158"/>
        </w:rPr>
        <w:t>B.A.</w:t>
      </w:r>
      <w:r>
        <w:rPr>
          <w:color w:val="6E6158"/>
          <w:spacing w:val="14"/>
        </w:rPr>
        <w:t> </w:t>
      </w:r>
      <w:r>
        <w:rPr>
          <w:color w:val="6E6158"/>
        </w:rPr>
        <w:t>International</w:t>
      </w:r>
      <w:r>
        <w:rPr>
          <w:color w:val="6E6158"/>
          <w:spacing w:val="13"/>
        </w:rPr>
        <w:t> </w:t>
      </w:r>
      <w:r>
        <w:rPr>
          <w:color w:val="6E6158"/>
        </w:rPr>
        <w:t>Studies,</w:t>
      </w:r>
      <w:r>
        <w:rPr>
          <w:color w:val="6E6158"/>
          <w:spacing w:val="14"/>
        </w:rPr>
        <w:t> </w:t>
      </w:r>
      <w:r>
        <w:rPr>
          <w:color w:val="6E6158"/>
        </w:rPr>
        <w:t>B.S.</w:t>
      </w:r>
      <w:r>
        <w:rPr>
          <w:color w:val="6E6158"/>
          <w:spacing w:val="13"/>
        </w:rPr>
        <w:t> </w:t>
      </w:r>
      <w:r>
        <w:rPr>
          <w:color w:val="6E6158"/>
        </w:rPr>
        <w:t>Political</w:t>
      </w:r>
      <w:r>
        <w:rPr>
          <w:color w:val="6E6158"/>
          <w:spacing w:val="14"/>
        </w:rPr>
        <w:t> </w:t>
      </w:r>
      <w:r>
        <w:rPr>
          <w:color w:val="6E6158"/>
        </w:rPr>
        <w:t>Science,</w:t>
      </w:r>
      <w:r>
        <w:rPr>
          <w:color w:val="6E6158"/>
          <w:spacing w:val="13"/>
        </w:rPr>
        <w:t> </w:t>
      </w:r>
      <w:r>
        <w:rPr>
          <w:color w:val="6E6158"/>
        </w:rPr>
        <w:t>University</w:t>
      </w:r>
      <w:r>
        <w:rPr>
          <w:color w:val="6E6158"/>
          <w:spacing w:val="14"/>
        </w:rPr>
        <w:t> </w:t>
      </w:r>
      <w:r>
        <w:rPr>
          <w:color w:val="6E6158"/>
        </w:rPr>
        <w:t>of</w:t>
      </w:r>
      <w:r>
        <w:rPr>
          <w:color w:val="6E6158"/>
          <w:spacing w:val="13"/>
        </w:rPr>
        <w:t> </w:t>
      </w:r>
      <w:r>
        <w:rPr>
          <w:color w:val="6E6158"/>
          <w:spacing w:val="-2"/>
        </w:rPr>
        <w:t>Idaho</w:t>
      </w:r>
    </w:p>
    <w:p>
      <w:pPr>
        <w:pStyle w:val="BodyText"/>
        <w:spacing w:before="163"/>
        <w:ind w:left="0"/>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ind w:left="0"/>
        <w:rPr>
          <w:b/>
        </w:rPr>
      </w:pPr>
    </w:p>
    <w:p>
      <w:pPr>
        <w:pStyle w:val="BodyText"/>
        <w:spacing w:line="427" w:lineRule="auto" w:before="1"/>
        <w:ind w:right="7844"/>
      </w:pPr>
      <w:r>
        <w:rPr>
          <w:color w:val="6E6158"/>
          <w:spacing w:val="-2"/>
        </w:rPr>
        <w:t>Immigration </w:t>
      </w:r>
      <w:r>
        <w:rPr>
          <w:color w:val="6E6158"/>
        </w:rPr>
        <w:t>Business &amp; </w:t>
      </w:r>
      <w:r>
        <w:rPr>
          <w:color w:val="6E6158"/>
        </w:rPr>
        <w:t>Finance</w:t>
      </w:r>
    </w:p>
    <w:p>
      <w:pPr>
        <w:pStyle w:val="BodyText"/>
        <w:spacing w:line="420" w:lineRule="auto" w:before="0"/>
        <w:ind w:right="6953"/>
      </w:pPr>
      <w:r>
        <w:rPr>
          <w:color w:val="6E6158"/>
        </w:rPr>
        <w:t>Labor &amp; Employment General Counsel </w:t>
      </w:r>
      <w:r>
        <w:rPr>
          <w:color w:val="6E6158"/>
        </w:rPr>
        <w:t>Services Health Care</w:t>
      </w:r>
    </w:p>
    <w:p>
      <w:pPr>
        <w:pStyle w:val="Heading1"/>
        <w:spacing w:before="281"/>
      </w:pPr>
      <w:r>
        <w:rPr>
          <w:color w:val="FF8100"/>
        </w:rPr>
        <w:t>REPRESENTATIVE</w:t>
      </w:r>
      <w:r>
        <w:rPr>
          <w:color w:val="FF8100"/>
          <w:spacing w:val="19"/>
        </w:rPr>
        <w:t> </w:t>
      </w:r>
      <w:r>
        <w:rPr>
          <w:color w:val="FF8100"/>
          <w:spacing w:val="-2"/>
        </w:rPr>
        <w:t>MATTERS</w:t>
      </w:r>
    </w:p>
    <w:p>
      <w:pPr>
        <w:pStyle w:val="BodyText"/>
        <w:spacing w:before="28"/>
        <w:ind w:left="0"/>
        <w:rPr>
          <w:b/>
        </w:rPr>
      </w:pPr>
    </w:p>
    <w:p>
      <w:pPr>
        <w:pStyle w:val="BodyText"/>
        <w:spacing w:line="292" w:lineRule="auto" w:before="0"/>
      </w:pPr>
      <w:r>
        <w:rPr>
          <w:color w:val="6E6158"/>
        </w:rPr>
        <w:t>Represented businesses in employment-based visa petition matters before U.S. Citizenship </w:t>
      </w:r>
      <w:r>
        <w:rPr>
          <w:color w:val="6E6158"/>
        </w:rPr>
        <w:t>and</w:t>
      </w:r>
      <w:r>
        <w:rPr>
          <w:color w:val="6E6158"/>
          <w:spacing w:val="40"/>
        </w:rPr>
        <w:t> </w:t>
      </w:r>
      <w:r>
        <w:rPr>
          <w:color w:val="6E6158"/>
        </w:rPr>
        <w:t>Immigration Services.</w:t>
      </w:r>
    </w:p>
    <w:p>
      <w:pPr>
        <w:pStyle w:val="BodyText"/>
        <w:spacing w:line="292" w:lineRule="auto"/>
        <w:ind w:right="1279"/>
      </w:pPr>
      <w:r>
        <w:rPr>
          <w:color w:val="6E6158"/>
        </w:rPr>
        <w:t>Advised businesses on I-9 compliance issues, related fine assessment litigation, and </w:t>
      </w:r>
      <w:r>
        <w:rPr>
          <w:color w:val="6E6158"/>
        </w:rPr>
        <w:t>other immigration-related employment matters.</w:t>
      </w:r>
    </w:p>
    <w:p>
      <w:pPr>
        <w:pStyle w:val="BodyText"/>
        <w:spacing w:line="292" w:lineRule="auto" w:before="132"/>
        <w:ind w:right="706"/>
      </w:pPr>
      <w:r>
        <w:rPr>
          <w:color w:val="6E6158"/>
        </w:rPr>
        <w:t>Represented clients in matters involving U.S. Immigration and Customs Enforcement, </w:t>
      </w:r>
      <w:r>
        <w:rPr>
          <w:color w:val="6E6158"/>
        </w:rPr>
        <w:t>immigration</w:t>
      </w:r>
      <w:r>
        <w:rPr>
          <w:color w:val="6E6158"/>
          <w:spacing w:val="40"/>
        </w:rPr>
        <w:t> </w:t>
      </w:r>
      <w:r>
        <w:rPr>
          <w:color w:val="6E6158"/>
        </w:rPr>
        <w:t>court, and the federal courts.</w:t>
      </w:r>
    </w:p>
    <w:p>
      <w:pPr>
        <w:pStyle w:val="BodyText"/>
      </w:pPr>
      <w:r>
        <w:rPr>
          <w:color w:val="6E6158"/>
        </w:rPr>
        <w:t>Represented</w:t>
      </w:r>
      <w:r>
        <w:rPr>
          <w:color w:val="6E6158"/>
          <w:spacing w:val="9"/>
        </w:rPr>
        <w:t> </w:t>
      </w:r>
      <w:r>
        <w:rPr>
          <w:color w:val="6E6158"/>
        </w:rPr>
        <w:t>a</w:t>
      </w:r>
      <w:r>
        <w:rPr>
          <w:color w:val="6E6158"/>
          <w:spacing w:val="10"/>
        </w:rPr>
        <w:t> </w:t>
      </w:r>
      <w:r>
        <w:rPr>
          <w:color w:val="6E6158"/>
        </w:rPr>
        <w:t>detained</w:t>
      </w:r>
      <w:r>
        <w:rPr>
          <w:color w:val="6E6158"/>
          <w:spacing w:val="9"/>
        </w:rPr>
        <w:t> </w:t>
      </w:r>
      <w:r>
        <w:rPr>
          <w:color w:val="6E6158"/>
        </w:rPr>
        <w:t>asylum</w:t>
      </w:r>
      <w:r>
        <w:rPr>
          <w:color w:val="6E6158"/>
          <w:spacing w:val="10"/>
        </w:rPr>
        <w:t> </w:t>
      </w:r>
      <w:r>
        <w:rPr>
          <w:color w:val="6E6158"/>
        </w:rPr>
        <w:t>seeker,</w:t>
      </w:r>
      <w:r>
        <w:rPr>
          <w:color w:val="6E6158"/>
          <w:spacing w:val="10"/>
        </w:rPr>
        <w:t> </w:t>
      </w:r>
      <w:r>
        <w:rPr>
          <w:color w:val="6E6158"/>
        </w:rPr>
        <w:t>Court</w:t>
      </w:r>
      <w:r>
        <w:rPr>
          <w:color w:val="6E6158"/>
          <w:spacing w:val="9"/>
        </w:rPr>
        <w:t> </w:t>
      </w:r>
      <w:r>
        <w:rPr>
          <w:color w:val="6E6158"/>
        </w:rPr>
        <w:t>of</w:t>
      </w:r>
      <w:r>
        <w:rPr>
          <w:color w:val="6E6158"/>
          <w:spacing w:val="10"/>
        </w:rPr>
        <w:t> </w:t>
      </w:r>
      <w:r>
        <w:rPr>
          <w:color w:val="6E6158"/>
        </w:rPr>
        <w:t>Appeals</w:t>
      </w:r>
      <w:r>
        <w:rPr>
          <w:color w:val="6E6158"/>
          <w:spacing w:val="10"/>
        </w:rPr>
        <w:t> </w:t>
      </w:r>
      <w:r>
        <w:rPr>
          <w:color w:val="6E6158"/>
        </w:rPr>
        <w:t>for</w:t>
      </w:r>
      <w:r>
        <w:rPr>
          <w:color w:val="6E6158"/>
          <w:spacing w:val="9"/>
        </w:rPr>
        <w:t> </w:t>
      </w:r>
      <w:r>
        <w:rPr>
          <w:color w:val="6E6158"/>
        </w:rPr>
        <w:t>the</w:t>
      </w:r>
      <w:r>
        <w:rPr>
          <w:color w:val="6E6158"/>
          <w:spacing w:val="10"/>
        </w:rPr>
        <w:t> </w:t>
      </w:r>
      <w:r>
        <w:rPr>
          <w:color w:val="6E6158"/>
        </w:rPr>
        <w:t>Ninth</w:t>
      </w:r>
      <w:r>
        <w:rPr>
          <w:color w:val="6E6158"/>
          <w:spacing w:val="9"/>
        </w:rPr>
        <w:t> </w:t>
      </w:r>
      <w:r>
        <w:rPr>
          <w:color w:val="6E6158"/>
        </w:rPr>
        <w:t>Circuit</w:t>
      </w:r>
      <w:r>
        <w:rPr>
          <w:color w:val="6E6158"/>
          <w:spacing w:val="10"/>
        </w:rPr>
        <w:t> </w:t>
      </w:r>
      <w:r>
        <w:rPr>
          <w:color w:val="6E6158"/>
        </w:rPr>
        <w:t>Pro</w:t>
      </w:r>
      <w:r>
        <w:rPr>
          <w:color w:val="6E6158"/>
          <w:spacing w:val="10"/>
        </w:rPr>
        <w:t> </w:t>
      </w:r>
      <w:r>
        <w:rPr>
          <w:color w:val="6E6158"/>
        </w:rPr>
        <w:t>Bono</w:t>
      </w:r>
      <w:r>
        <w:rPr>
          <w:color w:val="6E6158"/>
          <w:spacing w:val="9"/>
        </w:rPr>
        <w:t> </w:t>
      </w:r>
      <w:r>
        <w:rPr>
          <w:color w:val="6E6158"/>
          <w:spacing w:val="-2"/>
        </w:rPr>
        <w:t>Program</w:t>
      </w:r>
    </w:p>
    <w:p>
      <w:pPr>
        <w:pStyle w:val="BodyText"/>
        <w:spacing w:before="171"/>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Heading1"/>
        <w:spacing w:after="0"/>
        <w:sectPr>
          <w:pgSz w:w="12240" w:h="15840"/>
          <w:pgMar w:top="500" w:bottom="280" w:left="1440" w:right="1080"/>
        </w:sectPr>
      </w:pPr>
    </w:p>
    <w:p>
      <w:pPr>
        <w:pStyle w:val="BodyText"/>
        <w:spacing w:line="292" w:lineRule="auto" w:before="83"/>
        <w:ind w:right="706"/>
      </w:pPr>
      <w:r>
        <w:rPr>
          <w:color w:val="6E6158"/>
        </w:rPr>
        <w:t>Co-Author, “</w:t>
      </w:r>
      <w:hyperlink r:id="rId11">
        <w:r>
          <w:rPr>
            <w:color w:val="F5821F"/>
          </w:rPr>
          <w:t>Public Charge Is Changing Again: The New Bond Pilot and the September </w:t>
        </w:r>
        <w:r>
          <w:rPr>
            <w:color w:val="F5821F"/>
          </w:rPr>
          <w:t>18th</w:t>
        </w:r>
      </w:hyperlink>
      <w:r>
        <w:rPr>
          <w:color w:val="F5821F"/>
        </w:rPr>
        <w:t> </w:t>
      </w:r>
      <w:hyperlink r:id="rId11">
        <w:r>
          <w:rPr>
            <w:color w:val="F5821F"/>
          </w:rPr>
          <w:t>Rule</w:t>
        </w:r>
      </w:hyperlink>
      <w:r>
        <w:rPr>
          <w:color w:val="6E6158"/>
        </w:rPr>
        <w:t>,” Fennemore Blog, August 7, 2026</w:t>
      </w:r>
    </w:p>
    <w:p>
      <w:pPr>
        <w:pStyle w:val="BodyText"/>
        <w:spacing w:line="292" w:lineRule="auto" w:before="132"/>
        <w:ind w:right="706"/>
      </w:pPr>
      <w:r>
        <w:rPr>
          <w:color w:val="6E6158"/>
        </w:rPr>
        <w:t>Co-Author, “</w:t>
      </w:r>
      <w:hyperlink r:id="rId12">
        <w:r>
          <w:rPr>
            <w:color w:val="F5821F"/>
          </w:rPr>
          <w:t>DHS Finalizes End of “Duration of Status” for F, J, and I Visa Categories</w:t>
        </w:r>
      </w:hyperlink>
      <w:r>
        <w:rPr>
          <w:color w:val="6E6158"/>
        </w:rPr>
        <w:t>,” Fennemore Blog, July 24, 2026</w:t>
      </w:r>
    </w:p>
    <w:p>
      <w:pPr>
        <w:pStyle w:val="BodyText"/>
        <w:spacing w:line="292" w:lineRule="auto"/>
        <w:ind w:right="706"/>
      </w:pPr>
      <w:r>
        <w:rPr>
          <w:color w:val="6E6158"/>
        </w:rPr>
        <w:t>Co-Author, “</w:t>
      </w:r>
      <w:hyperlink r:id="rId13">
        <w:r>
          <w:rPr>
            <w:color w:val="F5821F"/>
          </w:rPr>
          <w:t>The New Reality of Consular Visa Processing: More Data, More Screening, and the</w:t>
        </w:r>
      </w:hyperlink>
      <w:r>
        <w:rPr>
          <w:color w:val="F5821F"/>
        </w:rPr>
        <w:t> </w:t>
      </w:r>
      <w:hyperlink r:id="rId13">
        <w:r>
          <w:rPr>
            <w:color w:val="F5821F"/>
          </w:rPr>
          <w:t>Need for Better Preparation</w:t>
        </w:r>
      </w:hyperlink>
      <w:r>
        <w:rPr>
          <w:color w:val="6E6158"/>
        </w:rPr>
        <w:t>,” Fennemore Blog, July 10, 2026</w:t>
      </w:r>
    </w:p>
    <w:p>
      <w:pPr>
        <w:pStyle w:val="BodyText"/>
        <w:spacing w:line="292" w:lineRule="auto" w:before="131"/>
      </w:pPr>
      <w:r>
        <w:rPr>
          <w:color w:val="6E6158"/>
        </w:rPr>
        <w:t>Co-Author, “</w:t>
      </w:r>
      <w:hyperlink r:id="rId14">
        <w:r>
          <w:rPr>
            <w:color w:val="F5821F"/>
          </w:rPr>
          <w:t>Proposed EB-5 Changes: What Investors and Regional Centers Should Know </w:t>
        </w:r>
        <w:r>
          <w:rPr>
            <w:color w:val="F5821F"/>
          </w:rPr>
          <w:t>Now</w:t>
        </w:r>
      </w:hyperlink>
      <w:r>
        <w:rPr>
          <w:color w:val="6E6158"/>
        </w:rPr>
        <w:t>,” Fennemore Blog, July 9, 2026</w:t>
      </w:r>
    </w:p>
    <w:p>
      <w:pPr>
        <w:pStyle w:val="BodyText"/>
        <w:spacing w:line="292" w:lineRule="auto" w:before="124"/>
        <w:ind w:right="600"/>
      </w:pPr>
      <w:r>
        <w:rPr>
          <w:color w:val="6E6158"/>
        </w:rPr>
        <w:t>Co-Author, “</w:t>
      </w:r>
      <w:hyperlink r:id="rId15">
        <w:r>
          <w:rPr>
            <w:color w:val="F5821F"/>
          </w:rPr>
          <w:t>Supreme Court Immigration Update: Border Asylum Access, TPS for Haiti and Syria,</w:t>
        </w:r>
      </w:hyperlink>
      <w:r>
        <w:rPr>
          <w:color w:val="F5821F"/>
        </w:rPr>
        <w:t> </w:t>
      </w:r>
      <w:hyperlink r:id="rId15">
        <w:r>
          <w:rPr>
            <w:color w:val="F5821F"/>
          </w:rPr>
          <w:t>and Employer Next Steps</w:t>
        </w:r>
      </w:hyperlink>
      <w:r>
        <w:rPr>
          <w:color w:val="6E6158"/>
        </w:rPr>
        <w:t>,” Fennemore Blog, July 2, 2026</w:t>
      </w:r>
    </w:p>
    <w:p>
      <w:pPr>
        <w:pStyle w:val="BodyText"/>
        <w:spacing w:line="292" w:lineRule="auto" w:before="131"/>
        <w:ind w:right="706"/>
      </w:pPr>
      <w:r>
        <w:rPr>
          <w:color w:val="6E6158"/>
        </w:rPr>
        <w:t>Co-Author, “</w:t>
      </w:r>
      <w:r>
        <w:rPr>
          <w:color w:val="F5821F"/>
        </w:rPr>
        <w:t>What should HR do when immigration enforcement knocks on the door?</w:t>
      </w:r>
      <w:r>
        <w:rPr>
          <w:color w:val="6E6158"/>
        </w:rPr>
        <w:t>,” AZ Big Media, July 1, 2026</w:t>
      </w:r>
    </w:p>
    <w:p>
      <w:pPr>
        <w:pStyle w:val="BodyText"/>
        <w:spacing w:line="292" w:lineRule="auto"/>
        <w:ind w:right="706"/>
      </w:pPr>
      <w:r>
        <w:rPr>
          <w:color w:val="6E6158"/>
        </w:rPr>
        <w:t>Co-Author, “</w:t>
      </w:r>
      <w:hyperlink r:id="rId16">
        <w:r>
          <w:rPr>
            <w:color w:val="F5821F"/>
          </w:rPr>
          <w:t>DHS Clarifies Green Card Processing: Adjustment of Status Remains Available, but</w:t>
        </w:r>
      </w:hyperlink>
      <w:r>
        <w:rPr>
          <w:color w:val="F5821F"/>
        </w:rPr>
        <w:t> </w:t>
      </w:r>
      <w:hyperlink r:id="rId16">
        <w:r>
          <w:rPr>
            <w:color w:val="F5821F"/>
          </w:rPr>
          <w:t>Discretion Matters</w:t>
        </w:r>
      </w:hyperlink>
      <w:r>
        <w:rPr>
          <w:color w:val="6E6158"/>
        </w:rPr>
        <w:t>,” Fennemore Blog, June 30, 2026</w:t>
      </w:r>
    </w:p>
    <w:p>
      <w:pPr>
        <w:pStyle w:val="BodyText"/>
        <w:spacing w:line="292" w:lineRule="auto" w:before="132"/>
      </w:pPr>
      <w:r>
        <w:rPr>
          <w:color w:val="6E6158"/>
        </w:rPr>
        <w:t>Co-Author, “</w:t>
      </w:r>
      <w:hyperlink r:id="rId17">
        <w:r>
          <w:rPr>
            <w:color w:val="F5821F"/>
          </w:rPr>
          <w:t>Immigration Site Visits: What Your Team Needs to Know</w:t>
        </w:r>
      </w:hyperlink>
      <w:r>
        <w:rPr>
          <w:color w:val="6E6158"/>
        </w:rPr>
        <w:t>,” Greater Phoenix inBusiness Magazine, June 12, 2026</w:t>
      </w:r>
    </w:p>
    <w:p>
      <w:pPr>
        <w:pStyle w:val="BodyText"/>
        <w:spacing w:line="302" w:lineRule="auto"/>
        <w:ind w:right="706"/>
      </w:pPr>
      <w:r>
        <w:rPr>
          <w:color w:val="6E6158"/>
        </w:rPr>
        <w:t>Co-Author, “</w:t>
      </w:r>
      <w:hyperlink r:id="rId18">
        <w:r>
          <w:rPr>
            <w:color w:val="F5821F"/>
          </w:rPr>
          <w:t>U.S. Site Visits and Employer Compliance Readiness: What to Tighten Now</w:t>
        </w:r>
      </w:hyperlink>
      <w:r>
        <w:rPr>
          <w:color w:val="6E6158"/>
        </w:rPr>
        <w:t>,” Fennemore Blog, June 9, 2026</w:t>
      </w:r>
    </w:p>
    <w:p>
      <w:pPr>
        <w:pStyle w:val="BodyText"/>
        <w:spacing w:line="292" w:lineRule="auto" w:before="113"/>
        <w:ind w:right="706"/>
      </w:pPr>
      <w:r>
        <w:rPr>
          <w:color w:val="6E6158"/>
        </w:rPr>
        <w:t>Co-Author, “</w:t>
      </w:r>
      <w:hyperlink r:id="rId19">
        <w:r>
          <w:rPr>
            <w:color w:val="F5821F"/>
          </w:rPr>
          <w:t>Site Visit Readiness Checklist: What HR, Managers, and Front Desk Should Do</w:t>
        </w:r>
      </w:hyperlink>
      <w:r>
        <w:rPr>
          <w:color w:val="6E6158"/>
        </w:rPr>
        <w:t>,” Fennemore Blog, June 9, 2026</w:t>
      </w:r>
    </w:p>
    <w:p>
      <w:pPr>
        <w:pStyle w:val="BodyText"/>
        <w:spacing w:line="302" w:lineRule="auto"/>
        <w:ind w:right="706"/>
      </w:pPr>
      <w:r>
        <w:rPr>
          <w:color w:val="6E6158"/>
        </w:rPr>
        <w:t>Co-Author, “</w:t>
      </w:r>
      <w:hyperlink r:id="rId20">
        <w:r>
          <w:rPr>
            <w:color w:val="F5821F"/>
          </w:rPr>
          <w:t>Immigration Onboarding Checklist for HR: The First 10 Minutes with a New Foreign</w:t>
        </w:r>
      </w:hyperlink>
      <w:r>
        <w:rPr>
          <w:color w:val="F5821F"/>
        </w:rPr>
        <w:t> </w:t>
      </w:r>
      <w:hyperlink r:id="rId20">
        <w:r>
          <w:rPr>
            <w:color w:val="F5821F"/>
          </w:rPr>
          <w:t>National Hire</w:t>
        </w:r>
      </w:hyperlink>
      <w:r>
        <w:rPr>
          <w:color w:val="6E6158"/>
        </w:rPr>
        <w:t>,” Fennemore Blog, June 9, 2026</w:t>
      </w:r>
    </w:p>
    <w:p>
      <w:pPr>
        <w:pStyle w:val="BodyText"/>
        <w:spacing w:line="292" w:lineRule="auto" w:before="113"/>
        <w:ind w:right="706"/>
      </w:pPr>
      <w:r>
        <w:rPr>
          <w:color w:val="6E6158"/>
        </w:rPr>
        <w:t>Co-Author, “</w:t>
      </w:r>
      <w:hyperlink r:id="rId21">
        <w:r>
          <w:rPr>
            <w:color w:val="F5821F"/>
          </w:rPr>
          <w:t>From Access to Advancement: Mentorship and Sponsorship for Women Lawyers </w:t>
        </w:r>
        <w:r>
          <w:rPr>
            <w:color w:val="F5821F"/>
          </w:rPr>
          <w:t>in</w:t>
        </w:r>
      </w:hyperlink>
      <w:r>
        <w:rPr>
          <w:color w:val="F5821F"/>
        </w:rPr>
        <w:t> </w:t>
      </w:r>
      <w:hyperlink r:id="rId21">
        <w:r>
          <w:rPr>
            <w:color w:val="F5821F"/>
          </w:rPr>
          <w:t>Idaho</w:t>
        </w:r>
        <w:r>
          <w:rPr>
            <w:color w:val="F5821F"/>
            <w:spacing w:val="28"/>
          </w:rPr>
          <w:t> </w:t>
        </w:r>
        <w:r>
          <w:rPr>
            <w:color w:val="F5821F"/>
          </w:rPr>
          <w:t>by</w:t>
        </w:r>
        <w:r>
          <w:rPr>
            <w:color w:val="F5821F"/>
            <w:spacing w:val="28"/>
          </w:rPr>
          <w:t> </w:t>
        </w:r>
        <w:r>
          <w:rPr>
            <w:color w:val="F5821F"/>
          </w:rPr>
          <w:t>Lindsey</w:t>
        </w:r>
        <w:r>
          <w:rPr>
            <w:color w:val="F5821F"/>
            <w:spacing w:val="28"/>
          </w:rPr>
          <w:t> </w:t>
        </w:r>
        <w:r>
          <w:rPr>
            <w:color w:val="F5821F"/>
          </w:rPr>
          <w:t>A.</w:t>
        </w:r>
        <w:r>
          <w:rPr>
            <w:color w:val="F5821F"/>
            <w:spacing w:val="28"/>
          </w:rPr>
          <w:t> </w:t>
        </w:r>
        <w:r>
          <w:rPr>
            <w:color w:val="F5821F"/>
          </w:rPr>
          <w:t>Morgan,</w:t>
        </w:r>
        <w:r>
          <w:rPr>
            <w:color w:val="F5821F"/>
            <w:spacing w:val="28"/>
          </w:rPr>
          <w:t> </w:t>
        </w:r>
        <w:r>
          <w:rPr>
            <w:color w:val="F5821F"/>
          </w:rPr>
          <w:t>Kathleen</w:t>
        </w:r>
        <w:r>
          <w:rPr>
            <w:color w:val="F5821F"/>
            <w:spacing w:val="28"/>
          </w:rPr>
          <w:t> </w:t>
        </w:r>
        <w:r>
          <w:rPr>
            <w:color w:val="F5821F"/>
          </w:rPr>
          <w:t>M.</w:t>
        </w:r>
        <w:r>
          <w:rPr>
            <w:color w:val="F5821F"/>
            <w:spacing w:val="28"/>
          </w:rPr>
          <w:t> </w:t>
        </w:r>
        <w:r>
          <w:rPr>
            <w:color w:val="F5821F"/>
          </w:rPr>
          <w:t>Carr,</w:t>
        </w:r>
        <w:r>
          <w:rPr>
            <w:color w:val="F5821F"/>
            <w:spacing w:val="28"/>
          </w:rPr>
          <w:t> </w:t>
        </w:r>
        <w:r>
          <w:rPr>
            <w:color w:val="F5821F"/>
          </w:rPr>
          <w:t>Alycia</w:t>
        </w:r>
        <w:r>
          <w:rPr>
            <w:color w:val="F5821F"/>
            <w:spacing w:val="28"/>
          </w:rPr>
          <w:t> </w:t>
        </w:r>
        <w:r>
          <w:rPr>
            <w:color w:val="F5821F"/>
          </w:rPr>
          <w:t>Moss,</w:t>
        </w:r>
        <w:r>
          <w:rPr>
            <w:color w:val="F5821F"/>
            <w:spacing w:val="28"/>
          </w:rPr>
          <w:t> </w:t>
        </w:r>
        <w:r>
          <w:rPr>
            <w:color w:val="F5821F"/>
          </w:rPr>
          <w:t>Catherine</w:t>
        </w:r>
        <w:r>
          <w:rPr>
            <w:color w:val="F5821F"/>
            <w:spacing w:val="28"/>
          </w:rPr>
          <w:t> </w:t>
        </w:r>
        <w:r>
          <w:rPr>
            <w:color w:val="F5821F"/>
          </w:rPr>
          <w:t>Renshaw,</w:t>
        </w:r>
        <w:r>
          <w:rPr>
            <w:color w:val="F5821F"/>
            <w:spacing w:val="28"/>
          </w:rPr>
          <w:t> </w:t>
        </w:r>
        <w:r>
          <w:rPr>
            <w:color w:val="F5821F"/>
          </w:rPr>
          <w:t>and</w:t>
        </w:r>
        <w:r>
          <w:rPr>
            <w:color w:val="F5821F"/>
            <w:spacing w:val="28"/>
          </w:rPr>
          <w:t> </w:t>
        </w:r>
        <w:r>
          <w:rPr>
            <w:color w:val="F5821F"/>
          </w:rPr>
          <w:t>Katie</w:t>
        </w:r>
      </w:hyperlink>
    </w:p>
    <w:p>
      <w:pPr>
        <w:pStyle w:val="BodyText"/>
        <w:spacing w:before="1"/>
      </w:pPr>
      <w:hyperlink r:id="rId21">
        <w:r>
          <w:rPr>
            <w:color w:val="F5821F"/>
          </w:rPr>
          <w:t>Sheftic</w:t>
        </w:r>
      </w:hyperlink>
      <w:r>
        <w:rPr>
          <w:color w:val="6E6158"/>
        </w:rPr>
        <w:t>,”</w:t>
      </w:r>
      <w:r>
        <w:rPr>
          <w:color w:val="6E6158"/>
          <w:spacing w:val="11"/>
        </w:rPr>
        <w:t> </w:t>
      </w:r>
      <w:r>
        <w:rPr>
          <w:color w:val="6E6158"/>
        </w:rPr>
        <w:t>Idaho</w:t>
      </w:r>
      <w:r>
        <w:rPr>
          <w:color w:val="6E6158"/>
          <w:spacing w:val="11"/>
        </w:rPr>
        <w:t> </w:t>
      </w:r>
      <w:r>
        <w:rPr>
          <w:color w:val="6E6158"/>
        </w:rPr>
        <w:t>State</w:t>
      </w:r>
      <w:r>
        <w:rPr>
          <w:color w:val="6E6158"/>
          <w:spacing w:val="12"/>
        </w:rPr>
        <w:t> </w:t>
      </w:r>
      <w:r>
        <w:rPr>
          <w:color w:val="6E6158"/>
        </w:rPr>
        <w:t>Bar</w:t>
      </w:r>
      <w:r>
        <w:rPr>
          <w:color w:val="6E6158"/>
          <w:spacing w:val="11"/>
        </w:rPr>
        <w:t> </w:t>
      </w:r>
      <w:r>
        <w:rPr>
          <w:color w:val="6E6158"/>
        </w:rPr>
        <w:t>Magazine,</w:t>
      </w:r>
      <w:r>
        <w:rPr>
          <w:color w:val="6E6158"/>
          <w:spacing w:val="12"/>
        </w:rPr>
        <w:t> </w:t>
      </w:r>
      <w:r>
        <w:rPr>
          <w:color w:val="6E6158"/>
        </w:rPr>
        <w:t>June</w:t>
      </w:r>
      <w:r>
        <w:rPr>
          <w:color w:val="6E6158"/>
          <w:spacing w:val="11"/>
        </w:rPr>
        <w:t> </w:t>
      </w:r>
      <w:r>
        <w:rPr>
          <w:color w:val="6E6158"/>
        </w:rPr>
        <w:t>8,</w:t>
      </w:r>
      <w:r>
        <w:rPr>
          <w:color w:val="6E6158"/>
          <w:spacing w:val="12"/>
        </w:rPr>
        <w:t> </w:t>
      </w:r>
      <w:r>
        <w:rPr>
          <w:color w:val="6E6158"/>
          <w:spacing w:val="-4"/>
        </w:rPr>
        <w:t>2026</w:t>
      </w:r>
    </w:p>
    <w:p>
      <w:pPr>
        <w:pStyle w:val="BodyText"/>
        <w:spacing w:line="292" w:lineRule="auto" w:before="182"/>
        <w:ind w:right="706"/>
      </w:pPr>
      <w:r>
        <w:rPr>
          <w:color w:val="6E6158"/>
        </w:rPr>
        <w:t>Co-Author, “</w:t>
      </w:r>
      <w:hyperlink r:id="rId22">
        <w:r>
          <w:rPr>
            <w:color w:val="F5821F"/>
          </w:rPr>
          <w:t>Client Alert: Federal Court Vacates $100K H-1B Payment Requirement</w:t>
        </w:r>
      </w:hyperlink>
      <w:r>
        <w:rPr>
          <w:color w:val="6E6158"/>
        </w:rPr>
        <w:t>,” </w:t>
      </w:r>
      <w:r>
        <w:rPr>
          <w:color w:val="6E6158"/>
        </w:rPr>
        <w:t>Fennemore Blog, June 8, 2026</w:t>
      </w:r>
    </w:p>
    <w:p>
      <w:pPr>
        <w:pStyle w:val="BodyText"/>
        <w:spacing w:line="292" w:lineRule="auto"/>
        <w:ind w:right="706"/>
      </w:pPr>
      <w:r>
        <w:rPr>
          <w:color w:val="6E6158"/>
        </w:rPr>
        <w:t>Co-Author, “</w:t>
      </w:r>
      <w:hyperlink r:id="rId23">
        <w:r>
          <w:rPr>
            <w:color w:val="F5821F"/>
          </w:rPr>
          <w:t>“Show Me Your Papers” — Do You Have to Carry Immigration Documents?</w:t>
        </w:r>
      </w:hyperlink>
      <w:r>
        <w:rPr>
          <w:color w:val="6E6158"/>
        </w:rPr>
        <w:t>,” Fennemore Blog, May 27, 2026</w:t>
      </w:r>
    </w:p>
    <w:p>
      <w:pPr>
        <w:pStyle w:val="BodyText"/>
        <w:spacing w:line="292" w:lineRule="auto" w:before="132"/>
        <w:ind w:right="706"/>
      </w:pPr>
      <w:r>
        <w:rPr>
          <w:color w:val="6E6158"/>
        </w:rPr>
        <w:t>Co-Author, “</w:t>
      </w:r>
      <w:hyperlink r:id="rId24">
        <w:r>
          <w:rPr>
            <w:color w:val="F5821F"/>
          </w:rPr>
          <w:t>New Rules for H1-B Visas – Employers Take Note</w:t>
        </w:r>
      </w:hyperlink>
      <w:r>
        <w:rPr>
          <w:color w:val="6E6158"/>
        </w:rPr>
        <w:t>,” Greater Phoenix InBusiness Magazine, March 2026</w:t>
      </w:r>
    </w:p>
    <w:p>
      <w:pPr>
        <w:pStyle w:val="BodyText"/>
        <w:spacing w:line="302" w:lineRule="auto"/>
        <w:ind w:right="706"/>
      </w:pPr>
      <w:r>
        <w:rPr>
          <w:color w:val="6E6158"/>
        </w:rPr>
        <w:t>Co-Author, “</w:t>
      </w:r>
      <w:hyperlink r:id="rId25">
        <w:r>
          <w:rPr>
            <w:color w:val="F5821F"/>
          </w:rPr>
          <w:t>Fiscal Year 2027 H-1B Cap Lottery: What Employers Should Know (Quick Guide)</w:t>
        </w:r>
      </w:hyperlink>
      <w:r>
        <w:rPr>
          <w:color w:val="6E6158"/>
        </w:rPr>
        <w:t>,” Fennemore Blog, February 26, 2026</w:t>
      </w:r>
    </w:p>
    <w:p>
      <w:pPr>
        <w:pStyle w:val="BodyText"/>
        <w:spacing w:line="292" w:lineRule="auto" w:before="113"/>
        <w:ind w:right="771"/>
      </w:pPr>
      <w:r>
        <w:rPr>
          <w:color w:val="6E6158"/>
        </w:rPr>
        <w:t>Co-Author, “</w:t>
      </w:r>
      <w:hyperlink r:id="rId26">
        <w:r>
          <w:rPr>
            <w:color w:val="F5821F"/>
          </w:rPr>
          <w:t>Mukherji v. Miller Raises New Questions About the Kazarian-Based EB-1A </w:t>
        </w:r>
        <w:r>
          <w:rPr>
            <w:color w:val="F5821F"/>
          </w:rPr>
          <w:t>“Final</w:t>
        </w:r>
      </w:hyperlink>
      <w:r>
        <w:rPr>
          <w:color w:val="F5821F"/>
        </w:rPr>
        <w:t> </w:t>
      </w:r>
      <w:hyperlink r:id="rId26">
        <w:r>
          <w:rPr>
            <w:color w:val="F5821F"/>
          </w:rPr>
          <w:t>Merits” Step</w:t>
        </w:r>
      </w:hyperlink>
      <w:r>
        <w:rPr>
          <w:color w:val="6E6158"/>
        </w:rPr>
        <w:t>,” Fennemore Blog, February 10, 2026</w:t>
      </w:r>
    </w:p>
    <w:p>
      <w:pPr>
        <w:pStyle w:val="BodyText"/>
        <w:spacing w:line="302" w:lineRule="auto"/>
        <w:ind w:right="706"/>
      </w:pPr>
      <w:r>
        <w:rPr>
          <w:color w:val="6E6158"/>
        </w:rPr>
        <w:t>Co-Author, “</w:t>
      </w:r>
      <w:hyperlink r:id="rId27">
        <w:r>
          <w:rPr>
            <w:color w:val="F5821F"/>
          </w:rPr>
          <w:t>What Canadian Citizens Should Know Before Traveling to the United </w:t>
        </w:r>
        <w:r>
          <w:rPr>
            <w:color w:val="F5821F"/>
          </w:rPr>
          <w:t>States</w:t>
        </w:r>
      </w:hyperlink>
      <w:r>
        <w:rPr>
          <w:color w:val="6E6158"/>
        </w:rPr>
        <w:t>,” Fennemore Blog, January 30, 2026</w:t>
      </w:r>
    </w:p>
    <w:p>
      <w:pPr>
        <w:pStyle w:val="BodyText"/>
        <w:spacing w:line="292" w:lineRule="auto" w:before="113"/>
        <w:ind w:right="600"/>
      </w:pPr>
      <w:r>
        <w:rPr>
          <w:color w:val="6E6158"/>
        </w:rPr>
        <w:t>Co-Author, “</w:t>
      </w:r>
      <w:hyperlink r:id="rId28">
        <w:r>
          <w:rPr>
            <w:color w:val="F5821F"/>
          </w:rPr>
          <w:t>How hiring skilled foreign talent just got more complicated for employers</w:t>
        </w:r>
      </w:hyperlink>
      <w:r>
        <w:rPr>
          <w:color w:val="6E6158"/>
        </w:rPr>
        <w:t>,” AZ Big Media, January 19, 2026</w:t>
      </w:r>
    </w:p>
    <w:p>
      <w:pPr>
        <w:pStyle w:val="BodyText"/>
        <w:spacing w:line="302" w:lineRule="auto"/>
        <w:ind w:right="706"/>
      </w:pPr>
      <w:r>
        <w:rPr>
          <w:color w:val="6E6158"/>
        </w:rPr>
        <w:t>Co-Author, “</w:t>
      </w:r>
      <w:hyperlink r:id="rId29">
        <w:r>
          <w:rPr>
            <w:color w:val="F5821F"/>
          </w:rPr>
          <w:t>Hiring Skilled Foreign Talent Just Got More Complicated for Arizona Employers</w:t>
        </w:r>
      </w:hyperlink>
      <w:r>
        <w:rPr>
          <w:color w:val="6E6158"/>
        </w:rPr>
        <w:t>,” Greater Phoenix Chamber, January 16, 2026</w:t>
      </w:r>
    </w:p>
    <w:p>
      <w:pPr>
        <w:pStyle w:val="BodyText"/>
        <w:spacing w:after="0" w:line="302" w:lineRule="auto"/>
        <w:sectPr>
          <w:pgSz w:w="12240" w:h="15840"/>
          <w:pgMar w:top="500" w:bottom="280" w:left="1440" w:right="1080"/>
        </w:sectPr>
      </w:pPr>
    </w:p>
    <w:p>
      <w:pPr>
        <w:pStyle w:val="BodyText"/>
        <w:spacing w:line="292" w:lineRule="auto" w:before="83"/>
        <w:ind w:right="706"/>
      </w:pPr>
      <w:r>
        <w:rPr>
          <w:color w:val="6E6158"/>
        </w:rPr>
        <w:t>Co-Author, “</w:t>
      </w:r>
      <w:hyperlink r:id="rId30">
        <w:r>
          <w:rPr>
            <w:color w:val="F5821F"/>
          </w:rPr>
          <w:t>H-1B Cap Lottery Update: Higher Wages Get More “Entries” Starting FY 2027</w:t>
        </w:r>
      </w:hyperlink>
      <w:r>
        <w:rPr>
          <w:color w:val="6E6158"/>
        </w:rPr>
        <w:t>,” Fennemore Blog, January 13, 2026</w:t>
      </w:r>
    </w:p>
    <w:p>
      <w:pPr>
        <w:pStyle w:val="BodyText"/>
        <w:spacing w:line="292" w:lineRule="auto" w:before="132"/>
      </w:pPr>
      <w:r>
        <w:rPr>
          <w:color w:val="6E6158"/>
        </w:rPr>
        <w:t>Co-Author, “</w:t>
      </w:r>
      <w:hyperlink r:id="rId31">
        <w:r>
          <w:rPr>
            <w:color w:val="F5821F"/>
          </w:rPr>
          <w:t>Business Immigration in 2025–2026: Key Takeaways for Employers</w:t>
        </w:r>
      </w:hyperlink>
      <w:r>
        <w:rPr>
          <w:color w:val="6E6158"/>
        </w:rPr>
        <w:t>,” Fennemore </w:t>
      </w:r>
      <w:r>
        <w:rPr>
          <w:color w:val="6E6158"/>
        </w:rPr>
        <w:t>Blog, December 9, 2025</w:t>
      </w:r>
    </w:p>
    <w:p>
      <w:pPr>
        <w:pStyle w:val="BodyText"/>
      </w:pPr>
      <w:r>
        <w:rPr>
          <w:color w:val="6E6158"/>
        </w:rPr>
        <w:t>Author,</w:t>
      </w:r>
      <w:r>
        <w:rPr>
          <w:color w:val="6E6158"/>
          <w:spacing w:val="10"/>
        </w:rPr>
        <w:t> </w:t>
      </w:r>
      <w:r>
        <w:rPr>
          <w:color w:val="6E6158"/>
        </w:rPr>
        <w:t>“Immigration</w:t>
      </w:r>
      <w:r>
        <w:rPr>
          <w:color w:val="6E6158"/>
          <w:spacing w:val="10"/>
        </w:rPr>
        <w:t> </w:t>
      </w:r>
      <w:r>
        <w:rPr>
          <w:color w:val="6E6158"/>
        </w:rPr>
        <w:t>Issues</w:t>
      </w:r>
      <w:r>
        <w:rPr>
          <w:color w:val="6E6158"/>
          <w:spacing w:val="11"/>
        </w:rPr>
        <w:t> </w:t>
      </w:r>
      <w:r>
        <w:rPr>
          <w:color w:val="6E6158"/>
        </w:rPr>
        <w:t>for</w:t>
      </w:r>
      <w:r>
        <w:rPr>
          <w:color w:val="6E6158"/>
          <w:spacing w:val="10"/>
        </w:rPr>
        <w:t> </w:t>
      </w:r>
      <w:r>
        <w:rPr>
          <w:color w:val="6E6158"/>
        </w:rPr>
        <w:t>Employers</w:t>
      </w:r>
      <w:r>
        <w:rPr>
          <w:color w:val="6E6158"/>
          <w:spacing w:val="11"/>
        </w:rPr>
        <w:t> </w:t>
      </w:r>
      <w:r>
        <w:rPr>
          <w:color w:val="6E6158"/>
        </w:rPr>
        <w:t>in</w:t>
      </w:r>
      <w:r>
        <w:rPr>
          <w:color w:val="6E6158"/>
          <w:spacing w:val="10"/>
        </w:rPr>
        <w:t> </w:t>
      </w:r>
      <w:r>
        <w:rPr>
          <w:color w:val="6E6158"/>
        </w:rPr>
        <w:t>2025</w:t>
      </w:r>
      <w:r>
        <w:rPr>
          <w:color w:val="6E6158"/>
          <w:spacing w:val="11"/>
        </w:rPr>
        <w:t> </w:t>
      </w:r>
      <w:r>
        <w:rPr>
          <w:color w:val="6E6158"/>
        </w:rPr>
        <w:t>and</w:t>
      </w:r>
      <w:r>
        <w:rPr>
          <w:color w:val="6E6158"/>
          <w:spacing w:val="10"/>
        </w:rPr>
        <w:t> </w:t>
      </w:r>
      <w:r>
        <w:rPr>
          <w:color w:val="6E6158"/>
        </w:rPr>
        <w:t>Beyond,”</w:t>
      </w:r>
      <w:r>
        <w:rPr>
          <w:color w:val="6E6158"/>
          <w:spacing w:val="11"/>
        </w:rPr>
        <w:t> </w:t>
      </w:r>
      <w:r>
        <w:rPr>
          <w:color w:val="6E6158"/>
        </w:rPr>
        <w:t>Firm</w:t>
      </w:r>
      <w:r>
        <w:rPr>
          <w:color w:val="6E6158"/>
          <w:spacing w:val="10"/>
        </w:rPr>
        <w:t> </w:t>
      </w:r>
      <w:r>
        <w:rPr>
          <w:color w:val="6E6158"/>
        </w:rPr>
        <w:t>Newsletter,</w:t>
      </w:r>
      <w:r>
        <w:rPr>
          <w:color w:val="6E6158"/>
          <w:spacing w:val="11"/>
        </w:rPr>
        <w:t> </w:t>
      </w:r>
      <w:r>
        <w:rPr>
          <w:color w:val="6E6158"/>
        </w:rPr>
        <w:t>February</w:t>
      </w:r>
      <w:r>
        <w:rPr>
          <w:color w:val="6E6158"/>
          <w:spacing w:val="10"/>
        </w:rPr>
        <w:t> </w:t>
      </w:r>
      <w:r>
        <w:rPr>
          <w:color w:val="6E6158"/>
          <w:spacing w:val="-4"/>
        </w:rPr>
        <w:t>2025</w:t>
      </w:r>
    </w:p>
    <w:p>
      <w:pPr>
        <w:spacing w:line="285" w:lineRule="auto" w:before="164"/>
        <w:ind w:left="99" w:right="600" w:firstLine="0"/>
        <w:jc w:val="left"/>
        <w:rPr>
          <w:sz w:val="19"/>
        </w:rPr>
      </w:pPr>
      <w:r>
        <w:rPr>
          <w:color w:val="6E6158"/>
          <w:spacing w:val="-2"/>
          <w:sz w:val="19"/>
        </w:rPr>
        <w:t>Author,</w:t>
      </w:r>
      <w:r>
        <w:rPr>
          <w:color w:val="6E6158"/>
          <w:spacing w:val="-4"/>
          <w:sz w:val="19"/>
        </w:rPr>
        <w:t> </w:t>
      </w:r>
      <w:r>
        <w:rPr>
          <w:i/>
          <w:color w:val="6E6158"/>
          <w:spacing w:val="-2"/>
          <w:sz w:val="20"/>
        </w:rPr>
        <w:t>Reviving</w:t>
      </w:r>
      <w:r>
        <w:rPr>
          <w:i/>
          <w:color w:val="6E6158"/>
          <w:spacing w:val="-7"/>
          <w:sz w:val="20"/>
        </w:rPr>
        <w:t> </w:t>
      </w:r>
      <w:r>
        <w:rPr>
          <w:i/>
          <w:color w:val="6E6158"/>
          <w:spacing w:val="-2"/>
          <w:sz w:val="20"/>
        </w:rPr>
        <w:t>the</w:t>
      </w:r>
      <w:r>
        <w:rPr>
          <w:i/>
          <w:color w:val="6E6158"/>
          <w:spacing w:val="-7"/>
          <w:sz w:val="20"/>
        </w:rPr>
        <w:t> </w:t>
      </w:r>
      <w:r>
        <w:rPr>
          <w:i/>
          <w:color w:val="6E6158"/>
          <w:spacing w:val="-2"/>
          <w:sz w:val="20"/>
        </w:rPr>
        <w:t>Alien</w:t>
      </w:r>
      <w:r>
        <w:rPr>
          <w:i/>
          <w:color w:val="6E6158"/>
          <w:spacing w:val="-7"/>
          <w:sz w:val="20"/>
        </w:rPr>
        <w:t> </w:t>
      </w:r>
      <w:r>
        <w:rPr>
          <w:i/>
          <w:color w:val="6E6158"/>
          <w:spacing w:val="-2"/>
          <w:sz w:val="20"/>
        </w:rPr>
        <w:t>Tort</w:t>
      </w:r>
      <w:r>
        <w:rPr>
          <w:i/>
          <w:color w:val="6E6158"/>
          <w:spacing w:val="-7"/>
          <w:sz w:val="20"/>
        </w:rPr>
        <w:t> </w:t>
      </w:r>
      <w:r>
        <w:rPr>
          <w:i/>
          <w:color w:val="6E6158"/>
          <w:spacing w:val="-2"/>
          <w:sz w:val="20"/>
        </w:rPr>
        <w:t>Statute:</w:t>
      </w:r>
      <w:r>
        <w:rPr>
          <w:i/>
          <w:color w:val="6E6158"/>
          <w:spacing w:val="-7"/>
          <w:sz w:val="20"/>
        </w:rPr>
        <w:t> </w:t>
      </w:r>
      <w:r>
        <w:rPr>
          <w:i/>
          <w:color w:val="6E6158"/>
          <w:spacing w:val="-2"/>
          <w:sz w:val="20"/>
        </w:rPr>
        <w:t>A</w:t>
      </w:r>
      <w:r>
        <w:rPr>
          <w:i/>
          <w:color w:val="6E6158"/>
          <w:spacing w:val="-7"/>
          <w:sz w:val="20"/>
        </w:rPr>
        <w:t> </w:t>
      </w:r>
      <w:r>
        <w:rPr>
          <w:i/>
          <w:color w:val="6E6158"/>
          <w:spacing w:val="-2"/>
          <w:sz w:val="20"/>
        </w:rPr>
        <w:t>Roadmap</w:t>
      </w:r>
      <w:r>
        <w:rPr>
          <w:i/>
          <w:color w:val="6E6158"/>
          <w:spacing w:val="-7"/>
          <w:sz w:val="20"/>
        </w:rPr>
        <w:t> </w:t>
      </w:r>
      <w:r>
        <w:rPr>
          <w:i/>
          <w:color w:val="6E6158"/>
          <w:spacing w:val="-2"/>
          <w:sz w:val="20"/>
        </w:rPr>
        <w:t>to</w:t>
      </w:r>
      <w:r>
        <w:rPr>
          <w:i/>
          <w:color w:val="6E6158"/>
          <w:spacing w:val="-7"/>
          <w:sz w:val="20"/>
        </w:rPr>
        <w:t> </w:t>
      </w:r>
      <w:r>
        <w:rPr>
          <w:i/>
          <w:color w:val="6E6158"/>
          <w:spacing w:val="-2"/>
          <w:sz w:val="20"/>
        </w:rPr>
        <w:t>Recovery</w:t>
      </w:r>
      <w:r>
        <w:rPr>
          <w:i/>
          <w:color w:val="6E6158"/>
          <w:spacing w:val="-7"/>
          <w:sz w:val="20"/>
        </w:rPr>
        <w:t> </w:t>
      </w:r>
      <w:r>
        <w:rPr>
          <w:i/>
          <w:color w:val="6E6158"/>
          <w:spacing w:val="-2"/>
          <w:sz w:val="20"/>
        </w:rPr>
        <w:t>for</w:t>
      </w:r>
      <w:r>
        <w:rPr>
          <w:i/>
          <w:color w:val="6E6158"/>
          <w:spacing w:val="-7"/>
          <w:sz w:val="20"/>
        </w:rPr>
        <w:t> </w:t>
      </w:r>
      <w:r>
        <w:rPr>
          <w:i/>
          <w:color w:val="6E6158"/>
          <w:spacing w:val="-2"/>
          <w:sz w:val="20"/>
        </w:rPr>
        <w:t>Asylum</w:t>
      </w:r>
      <w:r>
        <w:rPr>
          <w:i/>
          <w:color w:val="6E6158"/>
          <w:spacing w:val="-7"/>
          <w:sz w:val="20"/>
        </w:rPr>
        <w:t> </w:t>
      </w:r>
      <w:r>
        <w:rPr>
          <w:i/>
          <w:color w:val="6E6158"/>
          <w:spacing w:val="-2"/>
          <w:sz w:val="20"/>
        </w:rPr>
        <w:t>Seekers</w:t>
      </w:r>
      <w:r>
        <w:rPr>
          <w:i/>
          <w:color w:val="6E6158"/>
          <w:spacing w:val="-7"/>
          <w:sz w:val="20"/>
        </w:rPr>
        <w:t> </w:t>
      </w:r>
      <w:r>
        <w:rPr>
          <w:i/>
          <w:color w:val="6E6158"/>
          <w:spacing w:val="-2"/>
          <w:sz w:val="20"/>
        </w:rPr>
        <w:t>Suffering</w:t>
      </w:r>
      <w:r>
        <w:rPr>
          <w:i/>
          <w:color w:val="6E6158"/>
          <w:spacing w:val="-7"/>
          <w:sz w:val="20"/>
        </w:rPr>
        <w:t> </w:t>
      </w:r>
      <w:r>
        <w:rPr>
          <w:i/>
          <w:color w:val="6E6158"/>
          <w:spacing w:val="-2"/>
          <w:sz w:val="20"/>
        </w:rPr>
        <w:t>the</w:t>
      </w:r>
      <w:r>
        <w:rPr>
          <w:i/>
          <w:color w:val="6E6158"/>
          <w:spacing w:val="-2"/>
          <w:sz w:val="20"/>
        </w:rPr>
        <w:t> </w:t>
      </w:r>
      <w:r>
        <w:rPr>
          <w:i/>
          <w:color w:val="6E6158"/>
          <w:sz w:val="20"/>
        </w:rPr>
        <w:t>Harm of Refoulement</w:t>
      </w:r>
      <w:r>
        <w:rPr>
          <w:color w:val="6E6158"/>
          <w:sz w:val="19"/>
        </w:rPr>
        <w:t>, 60 Idaho L. Rev. 207, (2024)</w:t>
      </w:r>
    </w:p>
    <w:p>
      <w:pPr>
        <w:pStyle w:val="BodyText"/>
        <w:spacing w:before="115"/>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line="292" w:lineRule="auto" w:before="0"/>
        <w:ind w:right="980"/>
      </w:pPr>
      <w:r>
        <w:rPr>
          <w:color w:val="6E6158"/>
        </w:rPr>
        <w:t>Adjunct</w:t>
      </w:r>
      <w:r>
        <w:rPr>
          <w:color w:val="6E6158"/>
          <w:spacing w:val="15"/>
        </w:rPr>
        <w:t> </w:t>
      </w:r>
      <w:r>
        <w:rPr>
          <w:color w:val="6E6158"/>
        </w:rPr>
        <w:t>Instructor</w:t>
      </w:r>
      <w:r>
        <w:rPr>
          <w:color w:val="6E6158"/>
          <w:spacing w:val="15"/>
        </w:rPr>
        <w:t> </w:t>
      </w:r>
      <w:r>
        <w:rPr>
          <w:color w:val="6E6158"/>
        </w:rPr>
        <w:t>–</w:t>
      </w:r>
      <w:r>
        <w:rPr>
          <w:color w:val="6E6158"/>
          <w:spacing w:val="15"/>
        </w:rPr>
        <w:t> </w:t>
      </w:r>
      <w:r>
        <w:rPr>
          <w:color w:val="6E6158"/>
        </w:rPr>
        <w:t>Strategies</w:t>
      </w:r>
      <w:r>
        <w:rPr>
          <w:color w:val="6E6158"/>
          <w:spacing w:val="15"/>
        </w:rPr>
        <w:t> </w:t>
      </w:r>
      <w:r>
        <w:rPr>
          <w:color w:val="6E6158"/>
        </w:rPr>
        <w:t>for</w:t>
      </w:r>
      <w:r>
        <w:rPr>
          <w:color w:val="6E6158"/>
          <w:spacing w:val="15"/>
        </w:rPr>
        <w:t> </w:t>
      </w:r>
      <w:r>
        <w:rPr>
          <w:color w:val="6E6158"/>
        </w:rPr>
        <w:t>Legal</w:t>
      </w:r>
      <w:r>
        <w:rPr>
          <w:color w:val="6E6158"/>
          <w:spacing w:val="15"/>
        </w:rPr>
        <w:t> </w:t>
      </w:r>
      <w:r>
        <w:rPr>
          <w:color w:val="6E6158"/>
        </w:rPr>
        <w:t>Reasoning,</w:t>
      </w:r>
      <w:r>
        <w:rPr>
          <w:color w:val="6E6158"/>
          <w:spacing w:val="15"/>
        </w:rPr>
        <w:t> </w:t>
      </w:r>
      <w:r>
        <w:rPr>
          <w:color w:val="6E6158"/>
        </w:rPr>
        <w:t>University</w:t>
      </w:r>
      <w:r>
        <w:rPr>
          <w:color w:val="6E6158"/>
          <w:spacing w:val="15"/>
        </w:rPr>
        <w:t> </w:t>
      </w:r>
      <w:r>
        <w:rPr>
          <w:color w:val="6E6158"/>
        </w:rPr>
        <w:t>of</w:t>
      </w:r>
      <w:r>
        <w:rPr>
          <w:color w:val="6E6158"/>
          <w:spacing w:val="15"/>
        </w:rPr>
        <w:t> </w:t>
      </w:r>
      <w:r>
        <w:rPr>
          <w:color w:val="6E6158"/>
        </w:rPr>
        <w:t>Idaho</w:t>
      </w:r>
      <w:r>
        <w:rPr>
          <w:color w:val="6E6158"/>
          <w:spacing w:val="15"/>
        </w:rPr>
        <w:t> </w:t>
      </w:r>
      <w:r>
        <w:rPr>
          <w:color w:val="6E6158"/>
        </w:rPr>
        <w:t>College</w:t>
      </w:r>
      <w:r>
        <w:rPr>
          <w:color w:val="6E6158"/>
          <w:spacing w:val="15"/>
        </w:rPr>
        <w:t> </w:t>
      </w:r>
      <w:r>
        <w:rPr>
          <w:color w:val="6E6158"/>
        </w:rPr>
        <w:t>of</w:t>
      </w:r>
      <w:r>
        <w:rPr>
          <w:color w:val="6E6158"/>
          <w:spacing w:val="15"/>
        </w:rPr>
        <w:t> </w:t>
      </w:r>
      <w:r>
        <w:rPr>
          <w:color w:val="6E6158"/>
        </w:rPr>
        <w:t>Law,</w:t>
      </w:r>
      <w:r>
        <w:rPr>
          <w:color w:val="6E6158"/>
          <w:spacing w:val="15"/>
        </w:rPr>
        <w:t> </w:t>
      </w:r>
      <w:r>
        <w:rPr>
          <w:color w:val="6E6158"/>
        </w:rPr>
        <w:t>2023-</w:t>
      </w:r>
      <w:r>
        <w:rPr>
          <w:color w:val="6E6158"/>
          <w:spacing w:val="-2"/>
        </w:rPr>
        <w:t>Present</w:t>
      </w:r>
    </w:p>
    <w:p>
      <w:pPr>
        <w:pStyle w:val="BodyText"/>
        <w:spacing w:line="427" w:lineRule="auto"/>
        <w:ind w:right="2656"/>
      </w:pPr>
      <w:r>
        <w:rPr>
          <w:color w:val="6E6158"/>
        </w:rPr>
        <w:t>Pro Bono Attorney, Idaho Volunteer Lawyers Program, 2022-</w:t>
      </w:r>
      <w:r>
        <w:rPr>
          <w:color w:val="6E6158"/>
        </w:rPr>
        <w:t>Present Member, Idaho State Bar – Young Lawyers Section, 2022-Present</w:t>
      </w:r>
    </w:p>
    <w:p>
      <w:pPr>
        <w:pStyle w:val="Heading1"/>
        <w:spacing w:before="276"/>
      </w:pPr>
      <w:r>
        <w:rPr>
          <w:color w:val="FF8100"/>
          <w:spacing w:val="-2"/>
        </w:rPr>
        <w:t>ADMISSIONS</w:t>
      </w:r>
    </w:p>
    <w:p>
      <w:pPr>
        <w:pStyle w:val="BodyText"/>
        <w:spacing w:before="27"/>
        <w:ind w:left="0"/>
        <w:rPr>
          <w:b/>
        </w:rPr>
      </w:pPr>
    </w:p>
    <w:p>
      <w:pPr>
        <w:pStyle w:val="BodyText"/>
        <w:spacing w:before="1"/>
      </w:pPr>
      <w:r>
        <w:rPr>
          <w:color w:val="6E6158"/>
        </w:rPr>
        <w:t>Idaho</w:t>
      </w:r>
      <w:r>
        <w:rPr>
          <w:color w:val="6E6158"/>
          <w:spacing w:val="14"/>
        </w:rPr>
        <w:t> </w:t>
      </w:r>
      <w:r>
        <w:rPr>
          <w:color w:val="6E6158"/>
        </w:rPr>
        <w:t>Supreme</w:t>
      </w:r>
      <w:r>
        <w:rPr>
          <w:color w:val="6E6158"/>
          <w:spacing w:val="14"/>
        </w:rPr>
        <w:t> </w:t>
      </w:r>
      <w:r>
        <w:rPr>
          <w:color w:val="6E6158"/>
          <w:spacing w:val="-2"/>
        </w:rPr>
        <w:t>Court</w:t>
      </w:r>
    </w:p>
    <w:p>
      <w:pPr>
        <w:pStyle w:val="BodyText"/>
        <w:spacing w:before="174"/>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Idaho</w:t>
      </w:r>
    </w:p>
    <w:p>
      <w:pPr>
        <w:pStyle w:val="BodyText"/>
        <w:spacing w:line="420" w:lineRule="auto" w:before="182"/>
        <w:ind w:right="5382"/>
      </w:pPr>
      <w:r>
        <w:rPr>
          <w:color w:val="6E6158"/>
        </w:rPr>
        <w:t>U.S. Court of Appeals, Ninth </w:t>
      </w:r>
      <w:r>
        <w:rPr>
          <w:color w:val="6E6158"/>
        </w:rPr>
        <w:t>Circuit</w:t>
      </w:r>
      <w:r>
        <w:rPr>
          <w:color w:val="6E6158"/>
        </w:rPr>
        <w:t> Washington Supreme Court</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spacing w:before="123"/>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spacing w:before="186"/>
      <w:ind w:left="99"/>
      <w:outlineLvl w:val="2"/>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immigration/" TargetMode="External"/><Relationship Id="rId9" Type="http://schemas.openxmlformats.org/officeDocument/2006/relationships/hyperlink" Target="https://www.fennemorelaw.com/contact-us/boise/" TargetMode="External"/><Relationship Id="rId10" Type="http://schemas.openxmlformats.org/officeDocument/2006/relationships/hyperlink" Target="mailto:crenshaw@fennemorelaw.com" TargetMode="External"/><Relationship Id="rId11" Type="http://schemas.openxmlformats.org/officeDocument/2006/relationships/hyperlink" Target="https://www.fennemorelaw.com/public-charge-is-changing-again-the-new-bond-pilot-and-the-september-18th-rule/" TargetMode="External"/><Relationship Id="rId12" Type="http://schemas.openxmlformats.org/officeDocument/2006/relationships/hyperlink" Target="https://www.fennemorelaw.com/dhs-finalizes-end-of-duration-of-status-for-f-j-and-i-visa-categories/" TargetMode="External"/><Relationship Id="rId13" Type="http://schemas.openxmlformats.org/officeDocument/2006/relationships/hyperlink" Target="https://www.fennemorelaw.com/the-new-reality-of-consular-visa-processing-more-data-more-screening-and-the-need-for-better-preparationx/" TargetMode="External"/><Relationship Id="rId14" Type="http://schemas.openxmlformats.org/officeDocument/2006/relationships/hyperlink" Target="https://www.fennemorelaw.com/proposed-eb-5-changes-what-investors-and-regional-centers-should-know-now/" TargetMode="External"/><Relationship Id="rId15" Type="http://schemas.openxmlformats.org/officeDocument/2006/relationships/hyperlink" Target="https://www.fennemorelaw.com/supreme-court-immigration-update-border-asylum-access-tps-for-haiti-and-syria-and-employer-next-steps/" TargetMode="External"/><Relationship Id="rId16" Type="http://schemas.openxmlformats.org/officeDocument/2006/relationships/hyperlink" Target="https://www.fennemorelaw.com/dhs-clarifies-green-card-processing-adjustment-of-status-remains-available-but-discretion-matters/" TargetMode="External"/><Relationship Id="rId17" Type="http://schemas.openxmlformats.org/officeDocument/2006/relationships/hyperlink" Target="https://inbusinessphx.com/legal-regulations/immigration-site-visits-what-your-team-needs-to-know" TargetMode="External"/><Relationship Id="rId18" Type="http://schemas.openxmlformats.org/officeDocument/2006/relationships/hyperlink" Target="https://www.fennemorelaw.com/u-s-site-visits-and-employer-compliance-readiness-what-to-tighten-now/" TargetMode="External"/><Relationship Id="rId19" Type="http://schemas.openxmlformats.org/officeDocument/2006/relationships/hyperlink" Target="https://www.fennemorelaw.com/site-visit-readiness-checklist-what-hr-managers-and-front-desk-should-do/" TargetMode="External"/><Relationship Id="rId20" Type="http://schemas.openxmlformats.org/officeDocument/2006/relationships/hyperlink" Target="https://www.fennemorelaw.com/immigration-onboarding-checklist-for-hr-the-first-10-minutes-with-a-new-foreign-national-hire/" TargetMode="External"/><Relationship Id="rId21" Type="http://schemas.openxmlformats.org/officeDocument/2006/relationships/hyperlink" Target="https://isb.idaho.gov/blog/from-access-to-advancement-mentorship-and-sponsorship-for-women-lawyers-in-idaho-by-lindsey-a-morgan-kathleen-m-carr-alycia-moss-catherine-renshaw-and-katie-sheftic/" TargetMode="External"/><Relationship Id="rId22" Type="http://schemas.openxmlformats.org/officeDocument/2006/relationships/hyperlink" Target="https://www.fennemorelaw.com/client-alert-federal-court-vacates-100k-h-1b-payment-requirement/" TargetMode="External"/><Relationship Id="rId23" Type="http://schemas.openxmlformats.org/officeDocument/2006/relationships/hyperlink" Target="https://www.fennemorelaw.com/show-me-your-papers-do-you-have-to-carry-immigration-documents/" TargetMode="External"/><Relationship Id="rId24" Type="http://schemas.openxmlformats.org/officeDocument/2006/relationships/hyperlink" Target="https://issuu.com/mediapublishersgroup/docs/march_2026_issue_of_in_business_magazine_/34" TargetMode="External"/><Relationship Id="rId25" Type="http://schemas.openxmlformats.org/officeDocument/2006/relationships/hyperlink" Target="https://www.fennemorelaw.com/fiscal-year-2027-h-1b-cap-lottery-what-employers-should-know-quick-guide/" TargetMode="External"/><Relationship Id="rId26" Type="http://schemas.openxmlformats.org/officeDocument/2006/relationships/hyperlink" Target="https://www.fennemorelaw.com/mukherji-v-miller-raises-new-questions-about-the-kazarian-based-eb-1a-final-merits-step/" TargetMode="External"/><Relationship Id="rId27" Type="http://schemas.openxmlformats.org/officeDocument/2006/relationships/hyperlink" Target="https://www.fennemorelaw.com/what-canadian-citizens-should-know-before-traveling-to-the-united-states/" TargetMode="External"/><Relationship Id="rId28" Type="http://schemas.openxmlformats.org/officeDocument/2006/relationships/hyperlink" Target="https://azbigmedia.com/business/how-hiring-skilled-foreign-talent-just-got-more-complicated-for-employers/" TargetMode="External"/><Relationship Id="rId29" Type="http://schemas.openxmlformats.org/officeDocument/2006/relationships/hyperlink" Target="https://phoenixchamber.com/2026/01/16/hiring-skilled-foreign-talent-just-got-more-complicated-for-arizona-employers/" TargetMode="External"/><Relationship Id="rId30" Type="http://schemas.openxmlformats.org/officeDocument/2006/relationships/hyperlink" Target="https://www.fennemorelaw.com/h-1b-cap-lottery-update-higher-wages-get-more-entries-starting-fy-2027/" TargetMode="External"/><Relationship Id="rId31" Type="http://schemas.openxmlformats.org/officeDocument/2006/relationships/hyperlink" Target="https://www.fennemorelaw.com/business-immigration-in-2025-2026-key-takeaways-for-emplo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Catherine Renshaw - Fennemore</dc:title>
  <dcterms:created xsi:type="dcterms:W3CDTF">2026-09-01T22:23:47Z</dcterms:created>
  <dcterms:modified xsi:type="dcterms:W3CDTF">2026-09-01T22:23:47Z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2026-09-01T00:00:00Z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2026-09-01T00:00:00Z</vt:filetime>
  </property>
  <property fmtid="{D5CDD505-2E9C-101B-9397-08002B2CF9AE}" pid="6" name="Producer">
    <vt:lpwstr>Skia/PDF m151</vt:lpwstr>
  </property>
</Properties>
</file>