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had Nicholson bi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21953" y="763308"/>
                            <a:ext cx="147637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CHAD M.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NICHOLSON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426125" y="2133494"/>
                            <a:ext cx="2679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Boise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208.738.9461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208.489.0100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42749" y="2500373"/>
                            <a:ext cx="16351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cnicholson@fennemorelaw.com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Chad Nicholson bio.png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55;top:-3887;width:2325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CHAD M.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NICHOLSON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306;top:-1729;width:42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Boise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208.738.9461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208.489.0100</w:t>
                        </w:r>
                      </w:p>
                    </w:txbxContent>
                  </v:textbox>
                  <w10:wrap type="none"/>
                </v:shape>
                <v:shape style="position:absolute;left:7230;top:-1151;width:2575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cnicholson@fennemorelaw.com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CHAD</w:t>
      </w:r>
      <w:r>
        <w:rPr>
          <w:color w:val="FF8100"/>
          <w:spacing w:val="5"/>
        </w:rPr>
        <w:t> </w:t>
      </w:r>
      <w:r>
        <w:rPr>
          <w:color w:val="FF8100"/>
        </w:rPr>
        <w:t>M.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NICHOLSON</w:t>
      </w:r>
    </w:p>
    <w:p>
      <w:pPr>
        <w:pStyle w:val="BodyText"/>
        <w:spacing w:line="295" w:lineRule="auto" w:before="146"/>
        <w:ind w:right="326"/>
      </w:pPr>
      <w:r>
        <w:rPr>
          <w:color w:val="6E6158"/>
        </w:rPr>
        <w:t>Chad M. Nicholson is a litigator at Fennemore who represents businesses, employers, and</w:t>
      </w:r>
      <w:r>
        <w:rPr>
          <w:color w:val="6E6158"/>
          <w:spacing w:val="40"/>
        </w:rPr>
        <w:t> </w:t>
      </w:r>
      <w:r>
        <w:rPr>
          <w:color w:val="6E6158"/>
        </w:rPr>
        <w:t>individuals in a broad range of complex litigation matters. His practice focuses on commercial</w:t>
      </w:r>
      <w:r>
        <w:rPr>
          <w:color w:val="6E6158"/>
          <w:spacing w:val="40"/>
        </w:rPr>
        <w:t> </w:t>
      </w:r>
      <w:r>
        <w:rPr>
          <w:color w:val="6E6158"/>
        </w:rPr>
        <w:t>litigation, employment law, construction disputes, and real estate litigation. With extensive</w:t>
      </w:r>
      <w:r>
        <w:rPr>
          <w:color w:val="6E6158"/>
          <w:spacing w:val="40"/>
        </w:rPr>
        <w:t> </w:t>
      </w:r>
      <w:r>
        <w:rPr>
          <w:color w:val="6E6158"/>
        </w:rPr>
        <w:t>courtroom experience and a practical approach to dispute resolution, Chad helps clients</w:t>
      </w:r>
      <w:r>
        <w:rPr>
          <w:color w:val="6E6158"/>
          <w:spacing w:val="40"/>
        </w:rPr>
        <w:t> </w:t>
      </w:r>
      <w:r>
        <w:rPr>
          <w:color w:val="6E6158"/>
        </w:rPr>
        <w:t>navigate</w:t>
      </w:r>
      <w:r>
        <w:rPr>
          <w:color w:val="6E6158"/>
          <w:spacing w:val="39"/>
        </w:rPr>
        <w:t> </w:t>
      </w:r>
      <w:r>
        <w:rPr>
          <w:color w:val="6E6158"/>
        </w:rPr>
        <w:t>high-stakes</w:t>
      </w:r>
      <w:r>
        <w:rPr>
          <w:color w:val="6E6158"/>
          <w:spacing w:val="39"/>
        </w:rPr>
        <w:t> </w:t>
      </w:r>
      <w:r>
        <w:rPr>
          <w:color w:val="6E6158"/>
        </w:rPr>
        <w:t>legal</w:t>
      </w:r>
      <w:r>
        <w:rPr>
          <w:color w:val="6E6158"/>
          <w:spacing w:val="39"/>
        </w:rPr>
        <w:t> </w:t>
      </w:r>
      <w:r>
        <w:rPr>
          <w:color w:val="6E6158"/>
        </w:rPr>
        <w:t>challenges</w:t>
      </w:r>
      <w:r>
        <w:rPr>
          <w:color w:val="6E6158"/>
          <w:spacing w:val="39"/>
        </w:rPr>
        <w:t> </w:t>
      </w:r>
      <w:r>
        <w:rPr>
          <w:color w:val="6E6158"/>
        </w:rPr>
        <w:t>while</w:t>
      </w:r>
      <w:r>
        <w:rPr>
          <w:color w:val="6E6158"/>
          <w:spacing w:val="39"/>
        </w:rPr>
        <w:t> </w:t>
      </w:r>
      <w:r>
        <w:rPr>
          <w:color w:val="6E6158"/>
        </w:rPr>
        <w:t>protecting</w:t>
      </w:r>
      <w:r>
        <w:rPr>
          <w:color w:val="6E6158"/>
          <w:spacing w:val="39"/>
        </w:rPr>
        <w:t> </w:t>
      </w:r>
      <w:r>
        <w:rPr>
          <w:color w:val="6E6158"/>
        </w:rPr>
        <w:t>their</w:t>
      </w:r>
      <w:r>
        <w:rPr>
          <w:color w:val="6E6158"/>
          <w:spacing w:val="39"/>
        </w:rPr>
        <w:t> </w:t>
      </w:r>
      <w:r>
        <w:rPr>
          <w:color w:val="6E6158"/>
        </w:rPr>
        <w:t>business</w:t>
      </w:r>
      <w:r>
        <w:rPr>
          <w:color w:val="6E6158"/>
          <w:spacing w:val="39"/>
        </w:rPr>
        <w:t> </w:t>
      </w:r>
      <w:r>
        <w:rPr>
          <w:color w:val="6E6158"/>
        </w:rPr>
        <w:t>interests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long-term</w:t>
      </w:r>
    </w:p>
    <w:p>
      <w:pPr>
        <w:pStyle w:val="BodyText"/>
        <w:spacing w:before="8"/>
      </w:pPr>
      <w:r>
        <w:rPr>
          <w:color w:val="6E6158"/>
          <w:spacing w:val="-2"/>
        </w:rPr>
        <w:t>objectives.</w:t>
      </w:r>
    </w:p>
    <w:p>
      <w:pPr>
        <w:pStyle w:val="BodyText"/>
        <w:spacing w:before="14"/>
        <w:ind w:left="0"/>
      </w:pPr>
    </w:p>
    <w:p>
      <w:pPr>
        <w:pStyle w:val="BodyText"/>
        <w:spacing w:line="292" w:lineRule="auto"/>
      </w:pPr>
      <w:r>
        <w:rPr>
          <w:color w:val="6E6158"/>
        </w:rPr>
        <w:t>Before joining Fennemore, Chad served as a prosecutor in Washington State, where he gained</w:t>
      </w:r>
      <w:r>
        <w:rPr>
          <w:color w:val="6E6158"/>
          <w:spacing w:val="40"/>
        </w:rPr>
        <w:t> </w:t>
      </w:r>
      <w:r>
        <w:rPr>
          <w:color w:val="6E6158"/>
        </w:rPr>
        <w:t>significant</w:t>
      </w:r>
      <w:r>
        <w:rPr>
          <w:color w:val="6E6158"/>
          <w:spacing w:val="35"/>
        </w:rPr>
        <w:t> </w:t>
      </w:r>
      <w:r>
        <w:rPr>
          <w:color w:val="6E6158"/>
        </w:rPr>
        <w:t>trial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courtroom</w:t>
      </w:r>
      <w:r>
        <w:rPr>
          <w:color w:val="6E6158"/>
          <w:spacing w:val="35"/>
        </w:rPr>
        <w:t> </w:t>
      </w:r>
      <w:r>
        <w:rPr>
          <w:color w:val="6E6158"/>
        </w:rPr>
        <w:t>experience</w:t>
      </w:r>
      <w:r>
        <w:rPr>
          <w:color w:val="6E6158"/>
          <w:spacing w:val="35"/>
        </w:rPr>
        <w:t> </w:t>
      </w:r>
      <w:r>
        <w:rPr>
          <w:color w:val="6E6158"/>
        </w:rPr>
        <w:t>handling</w:t>
      </w:r>
      <w:r>
        <w:rPr>
          <w:color w:val="6E6158"/>
          <w:spacing w:val="35"/>
        </w:rPr>
        <w:t> </w:t>
      </w:r>
      <w:r>
        <w:rPr>
          <w:color w:val="6E6158"/>
        </w:rPr>
        <w:t>complex</w:t>
      </w:r>
      <w:r>
        <w:rPr>
          <w:color w:val="6E6158"/>
          <w:spacing w:val="35"/>
        </w:rPr>
        <w:t> </w:t>
      </w:r>
      <w:r>
        <w:rPr>
          <w:color w:val="6E6158"/>
        </w:rPr>
        <w:t>cases</w:t>
      </w:r>
      <w:r>
        <w:rPr>
          <w:color w:val="6E6158"/>
          <w:spacing w:val="35"/>
        </w:rPr>
        <w:t> </w:t>
      </w:r>
      <w:r>
        <w:rPr>
          <w:color w:val="6E6158"/>
        </w:rPr>
        <w:t>before</w:t>
      </w:r>
      <w:r>
        <w:rPr>
          <w:color w:val="6E6158"/>
          <w:spacing w:val="35"/>
        </w:rPr>
        <w:t> </w:t>
      </w:r>
      <w:r>
        <w:rPr>
          <w:color w:val="6E6158"/>
        </w:rPr>
        <w:t>judges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juries.</w:t>
      </w:r>
    </w:p>
    <w:p>
      <w:pPr>
        <w:pStyle w:val="BodyText"/>
        <w:spacing w:before="2"/>
      </w:pPr>
      <w:r>
        <w:rPr>
          <w:color w:val="6E6158"/>
        </w:rPr>
        <w:t>Upon</w:t>
      </w:r>
      <w:r>
        <w:rPr>
          <w:color w:val="6E6158"/>
          <w:spacing w:val="12"/>
        </w:rPr>
        <w:t> </w:t>
      </w:r>
      <w:r>
        <w:rPr>
          <w:color w:val="6E6158"/>
        </w:rPr>
        <w:t>returning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Idaho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2006,</w:t>
      </w:r>
      <w:r>
        <w:rPr>
          <w:color w:val="6E6158"/>
          <w:spacing w:val="12"/>
        </w:rPr>
        <w:t> </w:t>
      </w:r>
      <w:r>
        <w:rPr>
          <w:color w:val="6E6158"/>
        </w:rPr>
        <w:t>Chad’s</w:t>
      </w:r>
      <w:r>
        <w:rPr>
          <w:color w:val="6E6158"/>
          <w:spacing w:val="12"/>
        </w:rPr>
        <w:t> </w:t>
      </w:r>
      <w:r>
        <w:rPr>
          <w:color w:val="6E6158"/>
        </w:rPr>
        <w:t>practice</w:t>
      </w:r>
      <w:r>
        <w:rPr>
          <w:color w:val="6E6158"/>
          <w:spacing w:val="12"/>
        </w:rPr>
        <w:t> </w:t>
      </w:r>
      <w:r>
        <w:rPr>
          <w:color w:val="6E6158"/>
        </w:rPr>
        <w:t>initially</w:t>
      </w:r>
      <w:r>
        <w:rPr>
          <w:color w:val="6E6158"/>
          <w:spacing w:val="12"/>
        </w:rPr>
        <w:t> </w:t>
      </w:r>
      <w:r>
        <w:rPr>
          <w:color w:val="6E6158"/>
        </w:rPr>
        <w:t>focused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personal</w:t>
      </w:r>
      <w:r>
        <w:rPr>
          <w:color w:val="6E6158"/>
          <w:spacing w:val="12"/>
        </w:rPr>
        <w:t> </w:t>
      </w:r>
      <w:r>
        <w:rPr>
          <w:color w:val="6E6158"/>
        </w:rPr>
        <w:t>injury,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medical</w:t>
      </w:r>
    </w:p>
    <w:p>
      <w:pPr>
        <w:pStyle w:val="BodyText"/>
        <w:spacing w:line="292" w:lineRule="auto" w:before="59"/>
      </w:pPr>
      <w:r>
        <w:rPr>
          <w:color w:val="6E6158"/>
        </w:rPr>
        <w:t>malpractice, and employment matters (wage claims, wrongful termination, and </w:t>
      </w:r>
      <w:r>
        <w:rPr>
          <w:color w:val="6E6158"/>
        </w:rPr>
        <w:t>discrimination).</w:t>
      </w:r>
      <w:r>
        <w:rPr>
          <w:color w:val="6E6158"/>
          <w:spacing w:val="40"/>
        </w:rPr>
        <w:t> </w:t>
      </w:r>
      <w:r>
        <w:rPr>
          <w:color w:val="6E6158"/>
        </w:rPr>
        <w:t>Since</w:t>
      </w:r>
      <w:r>
        <w:rPr>
          <w:color w:val="6E6158"/>
          <w:spacing w:val="33"/>
        </w:rPr>
        <w:t> </w:t>
      </w:r>
      <w:r>
        <w:rPr>
          <w:color w:val="6E6158"/>
        </w:rPr>
        <w:t>2012,</w:t>
      </w:r>
      <w:r>
        <w:rPr>
          <w:color w:val="6E6158"/>
          <w:spacing w:val="33"/>
        </w:rPr>
        <w:t> </w:t>
      </w:r>
      <w:r>
        <w:rPr>
          <w:color w:val="6E6158"/>
        </w:rPr>
        <w:t>Chad’s</w:t>
      </w:r>
      <w:r>
        <w:rPr>
          <w:color w:val="6E6158"/>
          <w:spacing w:val="33"/>
        </w:rPr>
        <w:t> </w:t>
      </w:r>
      <w:r>
        <w:rPr>
          <w:color w:val="6E6158"/>
        </w:rPr>
        <w:t>practice</w:t>
      </w:r>
      <w:r>
        <w:rPr>
          <w:color w:val="6E6158"/>
          <w:spacing w:val="33"/>
        </w:rPr>
        <w:t> </w:t>
      </w:r>
      <w:r>
        <w:rPr>
          <w:color w:val="6E6158"/>
        </w:rPr>
        <w:t>has</w:t>
      </w:r>
      <w:r>
        <w:rPr>
          <w:color w:val="6E6158"/>
          <w:spacing w:val="33"/>
        </w:rPr>
        <w:t> </w:t>
      </w:r>
      <w:r>
        <w:rPr>
          <w:color w:val="6E6158"/>
        </w:rPr>
        <w:t>focused</w:t>
      </w:r>
      <w:r>
        <w:rPr>
          <w:color w:val="6E6158"/>
          <w:spacing w:val="33"/>
        </w:rPr>
        <w:t> </w:t>
      </w:r>
      <w:r>
        <w:rPr>
          <w:color w:val="6E6158"/>
        </w:rPr>
        <w:t>on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areas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employment,</w:t>
      </w:r>
      <w:r>
        <w:rPr>
          <w:color w:val="6E6158"/>
          <w:spacing w:val="33"/>
        </w:rPr>
        <w:t> </w:t>
      </w:r>
      <w:r>
        <w:rPr>
          <w:color w:val="6E6158"/>
        </w:rPr>
        <w:t>construction,</w:t>
      </w:r>
    </w:p>
    <w:p>
      <w:pPr>
        <w:pStyle w:val="BodyText"/>
        <w:spacing w:line="292" w:lineRule="auto" w:before="2"/>
        <w:ind w:right="326"/>
      </w:pPr>
      <w:r>
        <w:rPr>
          <w:color w:val="6E6158"/>
        </w:rPr>
        <w:t>commercial, and real estate litigation. His litigation experience includes disputes involving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19"/>
        </w:rPr>
        <w:t> </w:t>
      </w:r>
      <w:r>
        <w:rPr>
          <w:color w:val="6E6158"/>
        </w:rPr>
        <w:t>contracts,</w:t>
      </w:r>
      <w:r>
        <w:rPr>
          <w:color w:val="6E6158"/>
          <w:spacing w:val="19"/>
        </w:rPr>
        <w:t> </w:t>
      </w:r>
      <w:r>
        <w:rPr>
          <w:color w:val="6E6158"/>
        </w:rPr>
        <w:t>construction</w:t>
      </w:r>
      <w:r>
        <w:rPr>
          <w:color w:val="6E6158"/>
          <w:spacing w:val="19"/>
        </w:rPr>
        <w:t> </w:t>
      </w:r>
      <w:r>
        <w:rPr>
          <w:color w:val="6E6158"/>
        </w:rPr>
        <w:t>projects,</w:t>
      </w:r>
      <w:r>
        <w:rPr>
          <w:color w:val="6E6158"/>
          <w:spacing w:val="19"/>
        </w:rPr>
        <w:t> </w:t>
      </w:r>
      <w:r>
        <w:rPr>
          <w:color w:val="6E6158"/>
        </w:rPr>
        <w:t>real</w:t>
      </w:r>
      <w:r>
        <w:rPr>
          <w:color w:val="6E6158"/>
          <w:spacing w:val="19"/>
        </w:rPr>
        <w:t> </w:t>
      </w:r>
      <w:r>
        <w:rPr>
          <w:color w:val="6E6158"/>
        </w:rPr>
        <w:t>estate</w:t>
      </w:r>
      <w:r>
        <w:rPr>
          <w:color w:val="6E6158"/>
          <w:spacing w:val="19"/>
        </w:rPr>
        <w:t> </w:t>
      </w:r>
      <w:r>
        <w:rPr>
          <w:color w:val="6E6158"/>
        </w:rPr>
        <w:t>matters,</w:t>
      </w:r>
      <w:r>
        <w:rPr>
          <w:color w:val="6E6158"/>
          <w:spacing w:val="19"/>
        </w:rPr>
        <w:t> </w:t>
      </w:r>
      <w:r>
        <w:rPr>
          <w:color w:val="6E6158"/>
        </w:rPr>
        <w:t>civil</w:t>
      </w:r>
      <w:r>
        <w:rPr>
          <w:color w:val="6E6158"/>
          <w:spacing w:val="19"/>
        </w:rPr>
        <w:t> </w:t>
      </w:r>
      <w:r>
        <w:rPr>
          <w:color w:val="6E6158"/>
        </w:rPr>
        <w:t>rights</w:t>
      </w:r>
      <w:r>
        <w:rPr>
          <w:color w:val="6E6158"/>
          <w:spacing w:val="19"/>
        </w:rPr>
        <w:t> </w:t>
      </w:r>
      <w:r>
        <w:rPr>
          <w:color w:val="6E6158"/>
        </w:rPr>
        <w:t>violations</w:t>
      </w:r>
      <w:r>
        <w:rPr>
          <w:color w:val="6E6158"/>
          <w:spacing w:val="19"/>
        </w:rPr>
        <w:t> </w:t>
      </w:r>
      <w:r>
        <w:rPr>
          <w:color w:val="6E6158"/>
        </w:rPr>
        <w:t>(workplace</w:t>
      </w:r>
    </w:p>
    <w:p>
      <w:pPr>
        <w:pStyle w:val="BodyText"/>
        <w:spacing w:line="292" w:lineRule="auto" w:before="9"/>
        <w:ind w:right="231"/>
      </w:pPr>
      <w:r>
        <w:rPr>
          <w:color w:val="6E6158"/>
        </w:rPr>
        <w:t>discrimination, sexual harassment, wrongful termination, disability and age discrimination, and </w:t>
      </w:r>
      <w:r>
        <w:rPr>
          <w:color w:val="6E6158"/>
        </w:rPr>
        <w:t>§</w:t>
      </w:r>
      <w:r>
        <w:rPr>
          <w:color w:val="6E6158"/>
          <w:spacing w:val="40"/>
        </w:rPr>
        <w:t> </w:t>
      </w:r>
      <w:r>
        <w:rPr>
          <w:color w:val="6E6158"/>
        </w:rPr>
        <w:t>1983</w:t>
      </w:r>
      <w:r>
        <w:rPr>
          <w:color w:val="6E6158"/>
          <w:spacing w:val="34"/>
        </w:rPr>
        <w:t> </w:t>
      </w:r>
      <w:r>
        <w:rPr>
          <w:color w:val="6E6158"/>
        </w:rPr>
        <w:t>violations),</w:t>
      </w:r>
      <w:r>
        <w:rPr>
          <w:color w:val="6E6158"/>
          <w:spacing w:val="34"/>
        </w:rPr>
        <w:t> </w:t>
      </w:r>
      <w:r>
        <w:rPr>
          <w:color w:val="6E6158"/>
        </w:rPr>
        <w:t>Family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Medical</w:t>
      </w:r>
      <w:r>
        <w:rPr>
          <w:color w:val="6E6158"/>
          <w:spacing w:val="34"/>
        </w:rPr>
        <w:t> </w:t>
      </w:r>
      <w:r>
        <w:rPr>
          <w:color w:val="6E6158"/>
        </w:rPr>
        <w:t>Leave</w:t>
      </w:r>
      <w:r>
        <w:rPr>
          <w:color w:val="6E6158"/>
          <w:spacing w:val="34"/>
        </w:rPr>
        <w:t> </w:t>
      </w:r>
      <w:r>
        <w:rPr>
          <w:color w:val="6E6158"/>
        </w:rPr>
        <w:t>Act</w:t>
      </w:r>
      <w:r>
        <w:rPr>
          <w:color w:val="6E6158"/>
          <w:spacing w:val="34"/>
        </w:rPr>
        <w:t> </w:t>
      </w:r>
      <w:r>
        <w:rPr>
          <w:color w:val="6E6158"/>
        </w:rPr>
        <w:t>(FMLA)</w:t>
      </w:r>
      <w:r>
        <w:rPr>
          <w:color w:val="6E6158"/>
          <w:spacing w:val="34"/>
        </w:rPr>
        <w:t> </w:t>
      </w:r>
      <w:r>
        <w:rPr>
          <w:color w:val="6E6158"/>
        </w:rPr>
        <w:t>claims,</w:t>
      </w:r>
      <w:r>
        <w:rPr>
          <w:color w:val="6E6158"/>
          <w:spacing w:val="34"/>
        </w:rPr>
        <w:t> </w:t>
      </w:r>
      <w:r>
        <w:rPr>
          <w:color w:val="6E6158"/>
        </w:rPr>
        <w:t>restrictive</w:t>
      </w:r>
      <w:r>
        <w:rPr>
          <w:color w:val="6E6158"/>
          <w:spacing w:val="34"/>
        </w:rPr>
        <w:t> </w:t>
      </w:r>
      <w:r>
        <w:rPr>
          <w:color w:val="6E6158"/>
        </w:rPr>
        <w:t>covenants,</w:t>
      </w:r>
      <w:r>
        <w:rPr>
          <w:color w:val="6E6158"/>
          <w:spacing w:val="34"/>
        </w:rPr>
        <w:t> </w:t>
      </w:r>
      <w:r>
        <w:rPr>
          <w:color w:val="6E6158"/>
        </w:rPr>
        <w:t>non-competition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non-disclosure</w:t>
      </w:r>
      <w:r>
        <w:rPr>
          <w:color w:val="6E6158"/>
          <w:spacing w:val="40"/>
        </w:rPr>
        <w:t> </w:t>
      </w:r>
      <w:r>
        <w:rPr>
          <w:color w:val="6E6158"/>
        </w:rPr>
        <w:t>agreements.</w:t>
      </w:r>
      <w:r>
        <w:rPr>
          <w:color w:val="6E6158"/>
          <w:spacing w:val="40"/>
        </w:rPr>
        <w:t> </w:t>
      </w:r>
      <w:r>
        <w:rPr>
          <w:color w:val="6E6158"/>
        </w:rPr>
        <w:t>That</w:t>
      </w:r>
      <w:r>
        <w:rPr>
          <w:color w:val="6E6158"/>
          <w:spacing w:val="40"/>
        </w:rPr>
        <w:t> </w:t>
      </w:r>
      <w:r>
        <w:rPr>
          <w:color w:val="6E6158"/>
        </w:rPr>
        <w:t>foundation</w:t>
      </w:r>
      <w:r>
        <w:rPr>
          <w:color w:val="6E6158"/>
          <w:spacing w:val="40"/>
        </w:rPr>
        <w:t> </w:t>
      </w:r>
      <w:r>
        <w:rPr>
          <w:color w:val="6E6158"/>
        </w:rPr>
        <w:t>has</w:t>
      </w:r>
      <w:r>
        <w:rPr>
          <w:color w:val="6E6158"/>
          <w:spacing w:val="40"/>
        </w:rPr>
        <w:t> </w:t>
      </w:r>
      <w:r>
        <w:rPr>
          <w:color w:val="6E6158"/>
        </w:rPr>
        <w:t>shaped</w:t>
      </w:r>
      <w:r>
        <w:rPr>
          <w:color w:val="6E6158"/>
          <w:spacing w:val="40"/>
        </w:rPr>
        <w:t> </w:t>
      </w:r>
      <w:r>
        <w:rPr>
          <w:color w:val="6E6158"/>
        </w:rPr>
        <w:t>his</w:t>
      </w:r>
    </w:p>
    <w:p>
      <w:pPr>
        <w:pStyle w:val="BodyText"/>
        <w:spacing w:line="292" w:lineRule="auto" w:before="10"/>
        <w:ind w:right="326"/>
      </w:pPr>
      <w:r>
        <w:rPr>
          <w:color w:val="6E6158"/>
        </w:rPr>
        <w:t>strategic approach to litigation, enabling him to confidently guide clients through every stage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legal</w:t>
      </w:r>
      <w:r>
        <w:rPr>
          <w:color w:val="6E6158"/>
          <w:spacing w:val="33"/>
        </w:rPr>
        <w:t> </w:t>
      </w:r>
      <w:r>
        <w:rPr>
          <w:color w:val="6E6158"/>
        </w:rPr>
        <w:t>process—from</w:t>
      </w:r>
      <w:r>
        <w:rPr>
          <w:color w:val="6E6158"/>
          <w:spacing w:val="33"/>
        </w:rPr>
        <w:t> </w:t>
      </w:r>
      <w:r>
        <w:rPr>
          <w:color w:val="6E6158"/>
        </w:rPr>
        <w:t>early</w:t>
      </w:r>
      <w:r>
        <w:rPr>
          <w:color w:val="6E6158"/>
          <w:spacing w:val="33"/>
        </w:rPr>
        <w:t> </w:t>
      </w:r>
      <w:r>
        <w:rPr>
          <w:color w:val="6E6158"/>
        </w:rPr>
        <w:t>case</w:t>
      </w:r>
      <w:r>
        <w:rPr>
          <w:color w:val="6E6158"/>
          <w:spacing w:val="33"/>
        </w:rPr>
        <w:t> </w:t>
      </w:r>
      <w:r>
        <w:rPr>
          <w:color w:val="6E6158"/>
        </w:rPr>
        <w:t>assessment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negotiation</w:t>
      </w:r>
      <w:r>
        <w:rPr>
          <w:color w:val="6E6158"/>
          <w:spacing w:val="33"/>
        </w:rPr>
        <w:t> </w:t>
      </w:r>
      <w:r>
        <w:rPr>
          <w:color w:val="6E6158"/>
        </w:rPr>
        <w:t>to</w:t>
      </w:r>
      <w:r>
        <w:rPr>
          <w:color w:val="6E6158"/>
          <w:spacing w:val="33"/>
        </w:rPr>
        <w:t> </w:t>
      </w:r>
      <w:r>
        <w:rPr>
          <w:color w:val="6E6158"/>
        </w:rPr>
        <w:t>trial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appeal.</w:t>
      </w:r>
    </w:p>
    <w:p>
      <w:pPr>
        <w:pStyle w:val="BodyText"/>
        <w:spacing w:line="292" w:lineRule="auto" w:before="197"/>
        <w:ind w:right="326"/>
      </w:pPr>
      <w:r>
        <w:rPr>
          <w:color w:val="6E6158"/>
        </w:rPr>
        <w:t>In addition to his litigation practice, Chad regularly advises employers on workplace policies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risk</w:t>
      </w:r>
      <w:r>
        <w:rPr>
          <w:color w:val="6E6158"/>
          <w:spacing w:val="40"/>
        </w:rPr>
        <w:t> </w:t>
      </w:r>
      <w:r>
        <w:rPr>
          <w:color w:val="6E6158"/>
        </w:rPr>
        <w:t>management,</w:t>
      </w:r>
      <w:r>
        <w:rPr>
          <w:color w:val="6E6158"/>
          <w:spacing w:val="40"/>
        </w:rPr>
        <w:t> </w:t>
      </w:r>
      <w:r>
        <w:rPr>
          <w:color w:val="6E6158"/>
        </w:rPr>
        <w:t>drafting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handbooks,</w:t>
      </w:r>
      <w:r>
        <w:rPr>
          <w:color w:val="6E6158"/>
          <w:spacing w:val="40"/>
        </w:rPr>
        <w:t> </w:t>
      </w:r>
      <w:r>
        <w:rPr>
          <w:color w:val="6E6158"/>
        </w:rPr>
        <w:t>confidentiality</w:t>
      </w:r>
    </w:p>
    <w:p>
      <w:pPr>
        <w:pStyle w:val="BodyText"/>
        <w:spacing w:line="292" w:lineRule="auto" w:before="9"/>
        <w:ind w:right="326"/>
      </w:pPr>
      <w:r>
        <w:rPr>
          <w:color w:val="6E6158"/>
        </w:rPr>
        <w:t>agreements, and other employment-related documents designed to minimize legal </w:t>
      </w:r>
      <w:r>
        <w:rPr>
          <w:color w:val="6E6158"/>
        </w:rPr>
        <w:t>exposure</w:t>
      </w:r>
      <w:r>
        <w:rPr>
          <w:color w:val="6E6158"/>
          <w:spacing w:val="40"/>
        </w:rPr>
        <w:t> </w:t>
      </w:r>
      <w:r>
        <w:rPr>
          <w:color w:val="6E6158"/>
        </w:rPr>
        <w:t>and support compliance.</w:t>
      </w:r>
    </w:p>
    <w:p>
      <w:pPr>
        <w:pStyle w:val="BodyText"/>
        <w:spacing w:line="295" w:lineRule="auto" w:before="196"/>
        <w:ind w:right="326"/>
      </w:pPr>
      <w:r>
        <w:rPr>
          <w:color w:val="6E6158"/>
        </w:rPr>
        <w:t>Clients value Chad’s ability to combine thorough legal analysis with practical business advice.</w:t>
      </w:r>
      <w:r>
        <w:rPr>
          <w:color w:val="6E6158"/>
          <w:spacing w:val="40"/>
        </w:rPr>
        <w:t> </w:t>
      </w:r>
      <w:r>
        <w:rPr>
          <w:color w:val="6E6158"/>
        </w:rPr>
        <w:t>Whether defending litigation, resolving employment disputes, or counseling businesses on</w:t>
      </w:r>
      <w:r>
        <w:rPr>
          <w:color w:val="6E6158"/>
          <w:spacing w:val="40"/>
        </w:rPr>
        <w:t> </w:t>
      </w:r>
      <w:r>
        <w:rPr>
          <w:color w:val="6E6158"/>
        </w:rPr>
        <w:t>preventative legal strategies, he focuses on delivering efficient, cost-effective solutions that align</w:t>
      </w:r>
      <w:r>
        <w:rPr>
          <w:color w:val="6E6158"/>
          <w:spacing w:val="40"/>
        </w:rPr>
        <w:t> </w:t>
      </w:r>
      <w:r>
        <w:rPr>
          <w:color w:val="6E6158"/>
        </w:rPr>
        <w:t>with each client’s goals.</w:t>
      </w:r>
    </w:p>
    <w:p>
      <w:pPr>
        <w:pStyle w:val="BodyText"/>
        <w:spacing w:before="197"/>
      </w:pPr>
      <w:r>
        <w:rPr>
          <w:color w:val="6E6158"/>
        </w:rPr>
        <w:t>Born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</w:rPr>
        <w:t>Oklahoma,</w:t>
      </w:r>
      <w:r>
        <w:rPr>
          <w:color w:val="6E6158"/>
          <w:spacing w:val="8"/>
        </w:rPr>
        <w:t> </w:t>
      </w:r>
      <w:r>
        <w:rPr>
          <w:color w:val="6E6158"/>
        </w:rPr>
        <w:t>Chad</w:t>
      </w:r>
      <w:r>
        <w:rPr>
          <w:color w:val="6E6158"/>
          <w:spacing w:val="8"/>
        </w:rPr>
        <w:t> </w:t>
      </w:r>
      <w:r>
        <w:rPr>
          <w:color w:val="6E6158"/>
        </w:rPr>
        <w:t>moved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Treasure</w:t>
      </w:r>
      <w:r>
        <w:rPr>
          <w:color w:val="6E6158"/>
          <w:spacing w:val="8"/>
        </w:rPr>
        <w:t> </w:t>
      </w:r>
      <w:r>
        <w:rPr>
          <w:color w:val="6E6158"/>
        </w:rPr>
        <w:t>Valley</w:t>
      </w:r>
      <w:r>
        <w:rPr>
          <w:color w:val="6E6158"/>
          <w:spacing w:val="8"/>
        </w:rPr>
        <w:t> </w:t>
      </w:r>
      <w:r>
        <w:rPr>
          <w:color w:val="6E6158"/>
        </w:rPr>
        <w:t>area</w:t>
      </w:r>
      <w:r>
        <w:rPr>
          <w:color w:val="6E6158"/>
          <w:spacing w:val="8"/>
        </w:rPr>
        <w:t> </w:t>
      </w:r>
      <w:r>
        <w:rPr>
          <w:color w:val="6E6158"/>
        </w:rPr>
        <w:t>as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young</w:t>
      </w:r>
      <w:r>
        <w:rPr>
          <w:color w:val="6E6158"/>
          <w:spacing w:val="8"/>
        </w:rPr>
        <w:t> </w:t>
      </w:r>
      <w:r>
        <w:rPr>
          <w:color w:val="6E6158"/>
        </w:rPr>
        <w:t>child</w:t>
      </w:r>
      <w:r>
        <w:rPr>
          <w:color w:val="6E6158"/>
          <w:spacing w:val="8"/>
        </w:rPr>
        <w:t> </w:t>
      </w:r>
      <w:r>
        <w:rPr>
          <w:color w:val="6E6158"/>
        </w:rPr>
        <w:t>and</w:t>
      </w:r>
      <w:r>
        <w:rPr>
          <w:color w:val="6E6158"/>
          <w:spacing w:val="8"/>
        </w:rPr>
        <w:t> </w:t>
      </w:r>
      <w:r>
        <w:rPr>
          <w:color w:val="6E6158"/>
        </w:rPr>
        <w:t>is</w:t>
      </w:r>
      <w:r>
        <w:rPr>
          <w:color w:val="6E6158"/>
          <w:spacing w:val="8"/>
        </w:rPr>
        <w:t> </w:t>
      </w:r>
      <w:r>
        <w:rPr>
          <w:color w:val="6E6158"/>
          <w:spacing w:val="-10"/>
        </w:rPr>
        <w:t>a</w:t>
      </w:r>
    </w:p>
    <w:p>
      <w:pPr>
        <w:pStyle w:val="BodyText"/>
        <w:spacing w:before="52"/>
      </w:pPr>
      <w:r>
        <w:rPr>
          <w:color w:val="6E6158"/>
        </w:rPr>
        <w:t>“Northwest</w:t>
      </w:r>
      <w:r>
        <w:rPr>
          <w:color w:val="6E6158"/>
          <w:spacing w:val="15"/>
        </w:rPr>
        <w:t> </w:t>
      </w:r>
      <w:r>
        <w:rPr>
          <w:color w:val="6E6158"/>
        </w:rPr>
        <w:t>kid.”</w:t>
      </w:r>
      <w:r>
        <w:rPr>
          <w:color w:val="6E6158"/>
          <w:spacing w:val="16"/>
        </w:rPr>
        <w:t> </w:t>
      </w:r>
      <w:r>
        <w:rPr>
          <w:color w:val="6E6158"/>
        </w:rPr>
        <w:t>Chad</w:t>
      </w:r>
      <w:r>
        <w:rPr>
          <w:color w:val="6E6158"/>
          <w:spacing w:val="15"/>
        </w:rPr>
        <w:t> </w:t>
      </w:r>
      <w:r>
        <w:rPr>
          <w:color w:val="6E6158"/>
        </w:rPr>
        <w:t>earned</w:t>
      </w:r>
      <w:r>
        <w:rPr>
          <w:color w:val="6E6158"/>
          <w:spacing w:val="16"/>
        </w:rPr>
        <w:t> </w:t>
      </w:r>
      <w:r>
        <w:rPr>
          <w:color w:val="6E6158"/>
        </w:rPr>
        <w:t>his</w:t>
      </w:r>
      <w:r>
        <w:rPr>
          <w:color w:val="6E6158"/>
          <w:spacing w:val="15"/>
        </w:rPr>
        <w:t> </w:t>
      </w:r>
      <w:r>
        <w:rPr>
          <w:color w:val="6E6158"/>
        </w:rPr>
        <w:t>undergraduate</w:t>
      </w:r>
      <w:r>
        <w:rPr>
          <w:color w:val="6E6158"/>
          <w:spacing w:val="16"/>
        </w:rPr>
        <w:t> </w:t>
      </w:r>
      <w:r>
        <w:rPr>
          <w:color w:val="6E6158"/>
        </w:rPr>
        <w:t>degree</w:t>
      </w:r>
      <w:r>
        <w:rPr>
          <w:color w:val="6E6158"/>
          <w:spacing w:val="15"/>
        </w:rPr>
        <w:t> </w:t>
      </w:r>
      <w:r>
        <w:rPr>
          <w:color w:val="6E6158"/>
        </w:rPr>
        <w:t>from</w:t>
      </w:r>
      <w:r>
        <w:rPr>
          <w:color w:val="6E6158"/>
          <w:spacing w:val="16"/>
        </w:rPr>
        <w:t> </w:t>
      </w:r>
      <w:r>
        <w:rPr>
          <w:color w:val="6E6158"/>
        </w:rPr>
        <w:t>Northwest</w:t>
      </w:r>
      <w:r>
        <w:rPr>
          <w:color w:val="6E6158"/>
          <w:spacing w:val="15"/>
        </w:rPr>
        <w:t> </w:t>
      </w:r>
      <w:r>
        <w:rPr>
          <w:color w:val="6E6158"/>
        </w:rPr>
        <w:t>Nazarene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right="326"/>
      </w:pPr>
      <w:r>
        <w:rPr>
          <w:color w:val="6E6158"/>
        </w:rPr>
        <w:t>and his Juris Doctor from Gonzaga University School of Law. He began his legal career in the</w:t>
      </w:r>
      <w:r>
        <w:rPr>
          <w:color w:val="6E6158"/>
          <w:spacing w:val="40"/>
        </w:rPr>
        <w:t> </w:t>
      </w:r>
      <w:r>
        <w:rPr>
          <w:color w:val="6E6158"/>
        </w:rPr>
        <w:t>Seattle area before returning to Boise in 2006.</w:t>
      </w:r>
    </w:p>
    <w:p>
      <w:pPr>
        <w:pStyle w:val="BodyText"/>
        <w:spacing w:before="205"/>
      </w:pPr>
      <w:r>
        <w:rPr>
          <w:color w:val="6E6158"/>
        </w:rPr>
        <w:t>Outside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his</w:t>
      </w:r>
      <w:r>
        <w:rPr>
          <w:color w:val="6E6158"/>
          <w:spacing w:val="11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practice,</w:t>
      </w:r>
      <w:r>
        <w:rPr>
          <w:color w:val="6E6158"/>
          <w:spacing w:val="11"/>
        </w:rPr>
        <w:t> </w:t>
      </w:r>
      <w:r>
        <w:rPr>
          <w:color w:val="6E6158"/>
        </w:rPr>
        <w:t>Chad</w:t>
      </w:r>
      <w:r>
        <w:rPr>
          <w:color w:val="6E6158"/>
          <w:spacing w:val="11"/>
        </w:rPr>
        <w:t> </w:t>
      </w:r>
      <w:r>
        <w:rPr>
          <w:color w:val="6E6158"/>
        </w:rPr>
        <w:t>enjoys</w:t>
      </w:r>
      <w:r>
        <w:rPr>
          <w:color w:val="6E6158"/>
          <w:spacing w:val="11"/>
        </w:rPr>
        <w:t> </w:t>
      </w:r>
      <w:r>
        <w:rPr>
          <w:color w:val="6E6158"/>
        </w:rPr>
        <w:t>golf,</w:t>
      </w:r>
      <w:r>
        <w:rPr>
          <w:color w:val="6E6158"/>
          <w:spacing w:val="10"/>
        </w:rPr>
        <w:t> </w:t>
      </w:r>
      <w:r>
        <w:rPr>
          <w:color w:val="6E6158"/>
        </w:rPr>
        <w:t>snow</w:t>
      </w:r>
      <w:r>
        <w:rPr>
          <w:color w:val="6E6158"/>
          <w:spacing w:val="11"/>
        </w:rPr>
        <w:t> </w:t>
      </w:r>
      <w:r>
        <w:rPr>
          <w:color w:val="6E6158"/>
        </w:rPr>
        <w:t>sports,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traveling.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pStyle w:val="BodyText"/>
        <w:spacing w:before="1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Gonzaga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School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1"/>
        <w:rPr>
          <w:i/>
          <w:sz w:val="20"/>
        </w:rPr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Northwest</w:t>
      </w:r>
      <w:r>
        <w:rPr>
          <w:color w:val="6E6158"/>
          <w:spacing w:val="11"/>
        </w:rPr>
        <w:t> </w:t>
      </w:r>
      <w:r>
        <w:rPr>
          <w:color w:val="6E6158"/>
        </w:rPr>
        <w:t>Nazarene</w:t>
      </w:r>
      <w:r>
        <w:rPr>
          <w:color w:val="6E6158"/>
          <w:spacing w:val="11"/>
        </w:rPr>
        <w:t> </w:t>
      </w:r>
      <w:r>
        <w:rPr>
          <w:color w:val="6E6158"/>
        </w:rPr>
        <w:t>University,</w:t>
      </w:r>
      <w:r>
        <w:rPr>
          <w:color w:val="6E6158"/>
          <w:spacing w:val="1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8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1"/>
        <w:ind w:left="0"/>
        <w:rPr>
          <w:i/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292" w:lineRule="auto"/>
        <w:ind w:right="593"/>
      </w:pPr>
      <w:r>
        <w:rPr>
          <w:color w:val="6E6158"/>
        </w:rPr>
        <w:t>Represented a small specialty co-packer against a Fortune 100 food product </w:t>
      </w:r>
      <w:r>
        <w:rPr>
          <w:color w:val="6E6158"/>
        </w:rPr>
        <w:t>manufacturer</w:t>
      </w:r>
      <w:r>
        <w:rPr>
          <w:color w:val="6E6158"/>
          <w:spacing w:val="40"/>
        </w:rPr>
        <w:t> </w:t>
      </w:r>
      <w:r>
        <w:rPr>
          <w:color w:val="6E6158"/>
        </w:rPr>
        <w:t>regarding a multi-year requirement/output contract dispute and a significant judgment on</w:t>
      </w:r>
      <w:r>
        <w:rPr>
          <w:color w:val="6E6158"/>
          <w:spacing w:val="40"/>
        </w:rPr>
        <w:t> </w:t>
      </w:r>
      <w:r>
        <w:rPr>
          <w:color w:val="6E6158"/>
        </w:rPr>
        <w:t>behalf of the co-packer after a lengthy trial and Ninth Circuit appeal</w:t>
      </w:r>
    </w:p>
    <w:p>
      <w:pPr>
        <w:pStyle w:val="BodyText"/>
        <w:spacing w:line="297" w:lineRule="auto" w:before="124"/>
        <w:ind w:right="326"/>
      </w:pPr>
      <w:r>
        <w:rPr>
          <w:color w:val="6E6158"/>
        </w:rPr>
        <w:t>Represented an employee against a rifle scope manufacturer for failing to pay severance</w:t>
      </w:r>
      <w:r>
        <w:rPr>
          <w:color w:val="6E6158"/>
          <w:spacing w:val="40"/>
        </w:rPr>
        <w:t> </w:t>
      </w:r>
      <w:r>
        <w:rPr>
          <w:color w:val="6E6158"/>
        </w:rPr>
        <w:t>payments due under the terms of an employment agreement and the Idaho Wage Claim Act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obtained</w:t>
      </w:r>
      <w:r>
        <w:rPr>
          <w:color w:val="6E6158"/>
          <w:spacing w:val="29"/>
        </w:rPr>
        <w:t> </w:t>
      </w:r>
      <w:r>
        <w:rPr>
          <w:color w:val="6E6158"/>
        </w:rPr>
        <w:t>a</w:t>
      </w:r>
      <w:r>
        <w:rPr>
          <w:color w:val="6E6158"/>
          <w:spacing w:val="29"/>
        </w:rPr>
        <w:t> </w:t>
      </w:r>
      <w:r>
        <w:rPr>
          <w:color w:val="6E6158"/>
        </w:rPr>
        <w:t>significant</w:t>
      </w:r>
      <w:r>
        <w:rPr>
          <w:color w:val="6E6158"/>
          <w:spacing w:val="29"/>
        </w:rPr>
        <w:t> </w:t>
      </w:r>
      <w:r>
        <w:rPr>
          <w:color w:val="6E6158"/>
        </w:rPr>
        <w:t>judgment</w:t>
      </w:r>
      <w:r>
        <w:rPr>
          <w:color w:val="6E6158"/>
          <w:spacing w:val="29"/>
        </w:rPr>
        <w:t> </w:t>
      </w:r>
      <w:r>
        <w:rPr>
          <w:color w:val="6E6158"/>
        </w:rPr>
        <w:t>after</w:t>
      </w:r>
      <w:r>
        <w:rPr>
          <w:color w:val="6E6158"/>
          <w:spacing w:val="29"/>
        </w:rPr>
        <w:t> </w:t>
      </w:r>
      <w:r>
        <w:rPr>
          <w:color w:val="6E6158"/>
        </w:rPr>
        <w:t>trial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appeal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Idaho</w:t>
      </w:r>
      <w:r>
        <w:rPr>
          <w:color w:val="6E6158"/>
          <w:spacing w:val="29"/>
        </w:rPr>
        <w:t> </w:t>
      </w:r>
      <w:r>
        <w:rPr>
          <w:color w:val="6E6158"/>
        </w:rPr>
        <w:t>Supreme</w:t>
      </w:r>
      <w:r>
        <w:rPr>
          <w:color w:val="6E6158"/>
          <w:spacing w:val="29"/>
        </w:rPr>
        <w:t> </w:t>
      </w:r>
      <w:r>
        <w:rPr>
          <w:color w:val="6E6158"/>
        </w:rPr>
        <w:t>Court</w:t>
      </w:r>
    </w:p>
    <w:p>
      <w:pPr>
        <w:pStyle w:val="BodyText"/>
        <w:spacing w:line="292" w:lineRule="auto" w:before="118"/>
        <w:ind w:right="36"/>
      </w:pPr>
      <w:r>
        <w:rPr>
          <w:color w:val="6E6158"/>
        </w:rPr>
        <w:t>Represented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family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estate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an</w:t>
      </w:r>
      <w:r>
        <w:rPr>
          <w:color w:val="6E6158"/>
          <w:spacing w:val="16"/>
        </w:rPr>
        <w:t> </w:t>
      </w:r>
      <w:r>
        <w:rPr>
          <w:color w:val="6E6158"/>
        </w:rPr>
        <w:t>individual</w:t>
      </w:r>
      <w:r>
        <w:rPr>
          <w:color w:val="6E6158"/>
          <w:spacing w:val="16"/>
        </w:rPr>
        <w:t> </w:t>
      </w:r>
      <w:r>
        <w:rPr>
          <w:color w:val="6E6158"/>
        </w:rPr>
        <w:t>against</w:t>
      </w:r>
      <w:r>
        <w:rPr>
          <w:color w:val="6E6158"/>
          <w:spacing w:val="16"/>
        </w:rPr>
        <w:t> </w:t>
      </w:r>
      <w:r>
        <w:rPr>
          <w:color w:val="6E6158"/>
        </w:rPr>
        <w:t>three</w:t>
      </w:r>
      <w:r>
        <w:rPr>
          <w:color w:val="6E6158"/>
          <w:spacing w:val="16"/>
        </w:rPr>
        <w:t> </w:t>
      </w:r>
      <w:r>
        <w:rPr>
          <w:color w:val="6E6158"/>
        </w:rPr>
        <w:t>law</w:t>
      </w:r>
      <w:r>
        <w:rPr>
          <w:color w:val="6E6158"/>
          <w:spacing w:val="16"/>
        </w:rPr>
        <w:t> </w:t>
      </w:r>
      <w:r>
        <w:rPr>
          <w:color w:val="6E6158"/>
        </w:rPr>
        <w:t>enforcement</w:t>
      </w:r>
      <w:r>
        <w:rPr>
          <w:color w:val="6E6158"/>
          <w:spacing w:val="16"/>
        </w:rPr>
        <w:t> </w:t>
      </w:r>
      <w:r>
        <w:rPr>
          <w:color w:val="6E6158"/>
        </w:rPr>
        <w:t>agencies</w:t>
      </w:r>
      <w:r>
        <w:rPr>
          <w:color w:val="6E6158"/>
          <w:spacing w:val="16"/>
        </w:rPr>
        <w:t> </w:t>
      </w:r>
      <w:r>
        <w:rPr>
          <w:color w:val="6E6158"/>
        </w:rPr>
        <w:t>and a</w:t>
      </w:r>
      <w:r>
        <w:rPr>
          <w:color w:val="6E6158"/>
          <w:spacing w:val="26"/>
        </w:rPr>
        <w:t> </w:t>
      </w:r>
      <w:r>
        <w:rPr>
          <w:color w:val="6E6158"/>
        </w:rPr>
        <w:t>chief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police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§</w:t>
      </w:r>
      <w:r>
        <w:rPr>
          <w:color w:val="6E6158"/>
          <w:spacing w:val="26"/>
        </w:rPr>
        <w:t> </w:t>
      </w:r>
      <w:r>
        <w:rPr>
          <w:color w:val="6E6158"/>
        </w:rPr>
        <w:t>1983</w:t>
      </w:r>
      <w:r>
        <w:rPr>
          <w:color w:val="6E6158"/>
          <w:spacing w:val="26"/>
        </w:rPr>
        <w:t> </w:t>
      </w:r>
      <w:r>
        <w:rPr>
          <w:color w:val="6E6158"/>
        </w:rPr>
        <w:t>violations</w:t>
      </w:r>
      <w:r>
        <w:rPr>
          <w:color w:val="6E6158"/>
          <w:spacing w:val="26"/>
        </w:rPr>
        <w:t> </w:t>
      </w:r>
      <w:r>
        <w:rPr>
          <w:color w:val="6E6158"/>
        </w:rPr>
        <w:t>under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state-created</w:t>
      </w:r>
      <w:r>
        <w:rPr>
          <w:color w:val="6E6158"/>
          <w:spacing w:val="26"/>
        </w:rPr>
        <w:t> </w:t>
      </w:r>
      <w:r>
        <w:rPr>
          <w:color w:val="6E6158"/>
        </w:rPr>
        <w:t>danger</w:t>
      </w:r>
      <w:r>
        <w:rPr>
          <w:color w:val="6E6158"/>
          <w:spacing w:val="26"/>
        </w:rPr>
        <w:t> </w:t>
      </w:r>
      <w:r>
        <w:rPr>
          <w:color w:val="6E6158"/>
        </w:rPr>
        <w:t>doctrine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obtained</w:t>
      </w:r>
      <w:r>
        <w:rPr>
          <w:color w:val="6E6158"/>
          <w:spacing w:val="26"/>
        </w:rPr>
        <w:t> </w:t>
      </w:r>
      <w:r>
        <w:rPr>
          <w:color w:val="6E6158"/>
        </w:rPr>
        <w:t>a</w:t>
      </w:r>
    </w:p>
    <w:p>
      <w:pPr>
        <w:pStyle w:val="BodyText"/>
        <w:spacing w:line="292" w:lineRule="auto" w:before="9"/>
        <w:ind w:right="326"/>
      </w:pPr>
      <w:r>
        <w:rPr>
          <w:color w:val="6E6158"/>
        </w:rPr>
        <w:t>significant settlement following extended litigation and an interlocutory appeal to the </w:t>
      </w:r>
      <w:r>
        <w:rPr>
          <w:color w:val="6E6158"/>
        </w:rPr>
        <w:t>Ninth</w:t>
      </w:r>
      <w:r>
        <w:rPr>
          <w:color w:val="6E6158"/>
          <w:spacing w:val="40"/>
        </w:rPr>
        <w:t> </w:t>
      </w:r>
      <w:r>
        <w:rPr>
          <w:color w:val="6E6158"/>
        </w:rPr>
        <w:t>Circuit Court of Appeals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7270"/>
      </w:pPr>
      <w:r>
        <w:rPr>
          <w:color w:val="6E6158"/>
        </w:rPr>
        <w:t>Labor &amp; </w:t>
      </w:r>
      <w:r>
        <w:rPr>
          <w:color w:val="6E6158"/>
        </w:rPr>
        <w:t>Employment Business Litigation Construction Law Real Estate</w:t>
      </w:r>
    </w:p>
    <w:p>
      <w:pPr>
        <w:pStyle w:val="Heading1"/>
        <w:spacing w:before="279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7" w:lineRule="auto"/>
        <w:ind w:right="326"/>
      </w:pPr>
      <w:r>
        <w:rPr>
          <w:color w:val="6E6158"/>
        </w:rPr>
        <w:t>Presenter, “Misclassification of Workers under the Fair Labor Standards Act, Interference with “Other Concerted Activity” under the National Labor Relations Act, and Seasonal </w:t>
      </w:r>
      <w:r>
        <w:rPr>
          <w:color w:val="6E6158"/>
        </w:rPr>
        <w:t>Employees</w:t>
      </w:r>
      <w:r>
        <w:rPr>
          <w:color w:val="6E6158"/>
          <w:spacing w:val="40"/>
        </w:rPr>
        <w:t> </w:t>
      </w:r>
      <w:r>
        <w:rPr>
          <w:color w:val="6E6158"/>
        </w:rPr>
        <w:t>Benefit</w:t>
      </w:r>
      <w:r>
        <w:rPr>
          <w:color w:val="6E6158"/>
          <w:spacing w:val="36"/>
        </w:rPr>
        <w:t> </w:t>
      </w:r>
      <w:r>
        <w:rPr>
          <w:color w:val="6E6158"/>
        </w:rPr>
        <w:t>Entitlements</w:t>
      </w:r>
      <w:r>
        <w:rPr>
          <w:color w:val="6E6158"/>
          <w:spacing w:val="36"/>
        </w:rPr>
        <w:t> </w:t>
      </w:r>
      <w:r>
        <w:rPr>
          <w:color w:val="6E6158"/>
        </w:rPr>
        <w:t>under</w:t>
      </w:r>
      <w:r>
        <w:rPr>
          <w:color w:val="6E6158"/>
          <w:spacing w:val="36"/>
        </w:rPr>
        <w:t> </w:t>
      </w:r>
      <w:r>
        <w:rPr>
          <w:color w:val="6E6158"/>
        </w:rPr>
        <w:t>the</w:t>
      </w:r>
      <w:r>
        <w:rPr>
          <w:color w:val="6E6158"/>
          <w:spacing w:val="36"/>
        </w:rPr>
        <w:t> </w:t>
      </w:r>
      <w:r>
        <w:rPr>
          <w:color w:val="6E6158"/>
        </w:rPr>
        <w:t>Affordable</w:t>
      </w:r>
      <w:r>
        <w:rPr>
          <w:color w:val="6E6158"/>
          <w:spacing w:val="36"/>
        </w:rPr>
        <w:t> </w:t>
      </w:r>
      <w:r>
        <w:rPr>
          <w:color w:val="6E6158"/>
        </w:rPr>
        <w:t>Care</w:t>
      </w:r>
      <w:r>
        <w:rPr>
          <w:color w:val="6E6158"/>
          <w:spacing w:val="36"/>
        </w:rPr>
        <w:t> </w:t>
      </w:r>
      <w:r>
        <w:rPr>
          <w:color w:val="6E6158"/>
        </w:rPr>
        <w:t>Act,”</w:t>
      </w:r>
      <w:r>
        <w:rPr>
          <w:color w:val="6E6158"/>
          <w:spacing w:val="36"/>
        </w:rPr>
        <w:t> </w:t>
      </w:r>
      <w:r>
        <w:rPr>
          <w:color w:val="6E6158"/>
        </w:rPr>
        <w:t>IIEA</w:t>
      </w:r>
      <w:r>
        <w:rPr>
          <w:color w:val="6E6158"/>
          <w:spacing w:val="36"/>
        </w:rPr>
        <w:t> </w:t>
      </w:r>
      <w:r>
        <w:rPr>
          <w:color w:val="6E6158"/>
        </w:rPr>
        <w:t>Annual</w:t>
      </w:r>
      <w:r>
        <w:rPr>
          <w:color w:val="6E6158"/>
          <w:spacing w:val="36"/>
        </w:rPr>
        <w:t> </w:t>
      </w:r>
      <w:r>
        <w:rPr>
          <w:color w:val="6E6158"/>
        </w:rPr>
        <w:t>Conference,</w:t>
      </w:r>
      <w:r>
        <w:rPr>
          <w:color w:val="6E6158"/>
          <w:spacing w:val="36"/>
        </w:rPr>
        <w:t> </w:t>
      </w:r>
      <w:r>
        <w:rPr>
          <w:color w:val="6E6158"/>
        </w:rPr>
        <w:t>2016</w:t>
      </w:r>
    </w:p>
    <w:p>
      <w:pPr>
        <w:pStyle w:val="BodyText"/>
        <w:spacing w:line="292" w:lineRule="auto" w:before="118"/>
        <w:ind w:right="299"/>
      </w:pPr>
      <w:r>
        <w:rPr>
          <w:color w:val="6E6158"/>
        </w:rPr>
        <w:t>Presenter, “Implementation &amp; Compliance with the Affordable Care Act as adopted in Idaho,”</w:t>
      </w:r>
      <w:r>
        <w:rPr>
          <w:color w:val="6E6158"/>
          <w:spacing w:val="40"/>
        </w:rPr>
        <w:t> </w:t>
      </w:r>
      <w:r>
        <w:rPr>
          <w:color w:val="6E6158"/>
        </w:rPr>
        <w:t>MWSS-Echelon Group Hillcrest Presentation Series, 2015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“The Do’s and Don’ts of the Hiring (and Firing) Process,” Associated Builders and Contractors, Inc., 2014</w:t>
      </w:r>
    </w:p>
    <w:p>
      <w:pPr>
        <w:pStyle w:val="BodyText"/>
        <w:spacing w:line="427" w:lineRule="auto" w:before="123"/>
        <w:ind w:right="593"/>
      </w:pPr>
      <w:r>
        <w:rPr>
          <w:color w:val="6E6158"/>
        </w:rPr>
        <w:t>Presenter, “Business Owner’s Rights &amp; Employment Practices,” IIEA Annual Show, </w:t>
      </w:r>
      <w:r>
        <w:rPr>
          <w:color w:val="6E6158"/>
        </w:rPr>
        <w:t>2013 Presenter, “Whistleblower Claims, Employment Law Discrimination,” 2013</w:t>
      </w:r>
    </w:p>
    <w:p>
      <w:pPr>
        <w:pStyle w:val="Heading1"/>
        <w:spacing w:before="276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Gonzaga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Alumni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ADMISSIONS</w:t>
      </w:r>
    </w:p>
    <w:p>
      <w:pPr>
        <w:pStyle w:val="BodyText"/>
        <w:spacing w:before="261"/>
      </w:pPr>
      <w:r>
        <w:rPr>
          <w:color w:val="6E6158"/>
          <w:spacing w:val="-2"/>
        </w:rPr>
        <w:t>Idaho</w:t>
      </w:r>
    </w:p>
    <w:p>
      <w:pPr>
        <w:pStyle w:val="BodyText"/>
        <w:spacing w:line="427" w:lineRule="auto" w:before="174"/>
        <w:ind w:right="6370"/>
      </w:pPr>
      <w:r>
        <w:rPr>
          <w:color w:val="6E6158"/>
        </w:rPr>
        <w:t>Idaho State District </w:t>
      </w:r>
      <w:r>
        <w:rPr>
          <w:color w:val="6E6158"/>
        </w:rPr>
        <w:t>Courts Idaho Court of Appeals</w:t>
      </w:r>
    </w:p>
    <w:p>
      <w:pPr>
        <w:pStyle w:val="BodyText"/>
        <w:spacing w:line="226" w:lineRule="exact"/>
      </w:pPr>
      <w:r>
        <w:rPr>
          <w:color w:val="6E6158"/>
        </w:rPr>
        <w:t>Idaho</w:t>
      </w:r>
      <w:r>
        <w:rPr>
          <w:color w:val="6E6158"/>
          <w:spacing w:val="14"/>
        </w:rPr>
        <w:t> </w:t>
      </w:r>
      <w:r>
        <w:rPr>
          <w:color w:val="6E6158"/>
        </w:rPr>
        <w:t>Supreme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line="420" w:lineRule="auto" w:before="174"/>
        <w:ind w:right="4755"/>
      </w:pPr>
      <w:r>
        <w:rPr>
          <w:color w:val="6E6158"/>
        </w:rPr>
        <w:t>Federal District Court for the District of </w:t>
      </w:r>
      <w:r>
        <w:rPr>
          <w:color w:val="6E6158"/>
        </w:rPr>
        <w:t>Idaho Ninth Circuit Court of Appeals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boise/" TargetMode="External"/><Relationship Id="rId10" Type="http://schemas.openxmlformats.org/officeDocument/2006/relationships/hyperlink" Target="mailto:cnicholso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Chad M. Nicholson - Fennemore</dc:title>
  <dcterms:created xsi:type="dcterms:W3CDTF">2026-09-01T12:29:14Z</dcterms:created>
  <dcterms:modified xsi:type="dcterms:W3CDTF">2026-09-01T12:29:14Z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2026-09-01T00:00:00Z</vt:filetime>
  </property>
  <property fmtid="{D5CDD505-2E9C-101B-9397-08002B2CF9AE}" pid="6" name="Producer">
    <vt:lpwstr>Skia/PDF m151</vt:lpwstr>
  </property>
</Properties>
</file>