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76"/>
        <w:ind w:left="0"/>
        <w:rPr>
          <w:rFonts w:ascii="Times New Roman"/>
        </w:rPr>
      </w:pPr>
    </w:p>
    <w:p>
      <w:pPr>
        <w:pStyle w:val="BodyText"/>
        <w:spacing w:line="297" w:lineRule="auto" w:before="1"/>
        <w:ind w:right="2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Dan Reaser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63620" y="1369338"/>
                            <a:ext cx="178308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3080" h="320675">
                                <a:moveTo>
                                  <a:pt x="178272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82724" y="320382"/>
                                </a:lnTo>
                                <a:lnTo>
                                  <a:pt x="1782724" y="315214"/>
                                </a:lnTo>
                                <a:close/>
                              </a:path>
                              <a:path w="1783080" h="320675">
                                <a:moveTo>
                                  <a:pt x="1782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82724" y="5168"/>
                                </a:lnTo>
                                <a:lnTo>
                                  <a:pt x="1782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62574" y="763308"/>
                            <a:ext cx="179514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DAN R.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REASER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66369" y="1859626"/>
                            <a:ext cx="178752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75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775.788.2226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775.788.2227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dreaser@fennemorelaw.com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710138" y="3482163"/>
                            <a:ext cx="266763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give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anything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less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than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best,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sacrifice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gift.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-Steve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Prefontaine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274578"/>
                            <a:ext cx="110744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DAN</w:t>
                              </w:r>
                              <w:r>
                                <w:rPr>
                                  <w:b/>
                                  <w:color w:val="002E6B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R.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REASER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Dan Reaser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7105;top:-5016;width:2808;height:505" id="docshape6" coordorigin="7106,-5016" coordsize="2808,505" path="m9913,-4520l7106,-4520,7106,-4511,9913,-4511,9913,-4520xm9913,-5016l7106,-5016,7106,-5008,9913,-5008,9913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04;top:-5971;width:2827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DAN R.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REASER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0;top:-4244;width:2815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  <w:p>
                        <w:pPr>
                          <w:tabs>
                            <w:tab w:pos="1575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775.788.2226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775.788.2227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dreaser@fennemorelaw.com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029;top:-1689;width:4201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give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anything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less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than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best,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sacrifice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gift.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-Steve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Prefontaine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744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DAN</w:t>
                        </w:r>
                        <w:r>
                          <w:rPr>
                            <w:b/>
                            <w:color w:val="002E6B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R.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REASER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For more than forty years, Dan has guided businesses navigating state and local licensing and</w:t>
      </w:r>
      <w:r>
        <w:rPr>
          <w:color w:val="6E6158"/>
          <w:spacing w:val="40"/>
        </w:rPr>
        <w:t> </w:t>
      </w:r>
      <w:r>
        <w:rPr>
          <w:color w:val="6E6158"/>
        </w:rPr>
        <w:t>regulatory responsibilities.</w:t>
      </w:r>
      <w:r>
        <w:rPr>
          <w:color w:val="6E6158"/>
          <w:spacing w:val="80"/>
        </w:rPr>
        <w:t> </w:t>
      </w:r>
      <w:r>
        <w:rPr>
          <w:color w:val="6E6158"/>
        </w:rPr>
        <w:t>His focus is on helping companies start, sustain and grow their organizations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commercial</w:t>
      </w:r>
      <w:r>
        <w:rPr>
          <w:color w:val="6E6158"/>
          <w:spacing w:val="15"/>
        </w:rPr>
        <w:t> </w:t>
      </w:r>
      <w:r>
        <w:rPr>
          <w:color w:val="6E6158"/>
        </w:rPr>
        <w:t>gaming,</w:t>
      </w:r>
      <w:r>
        <w:rPr>
          <w:color w:val="6E6158"/>
          <w:spacing w:val="15"/>
        </w:rPr>
        <w:t> </w:t>
      </w:r>
      <w:r>
        <w:rPr>
          <w:color w:val="6E6158"/>
        </w:rPr>
        <w:t>financial</w:t>
      </w:r>
      <w:r>
        <w:rPr>
          <w:color w:val="6E6158"/>
          <w:spacing w:val="15"/>
        </w:rPr>
        <w:t> </w:t>
      </w:r>
      <w:r>
        <w:rPr>
          <w:color w:val="6E6158"/>
        </w:rPr>
        <w:t>services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public</w:t>
      </w:r>
      <w:r>
        <w:rPr>
          <w:color w:val="6E6158"/>
          <w:spacing w:val="15"/>
        </w:rPr>
        <w:t> </w:t>
      </w:r>
      <w:r>
        <w:rPr>
          <w:color w:val="6E6158"/>
        </w:rPr>
        <w:t>utility</w:t>
      </w:r>
      <w:r>
        <w:rPr>
          <w:color w:val="6E6158"/>
          <w:spacing w:val="15"/>
        </w:rPr>
        <w:t> </w:t>
      </w:r>
      <w:r>
        <w:rPr>
          <w:color w:val="6E6158"/>
        </w:rPr>
        <w:t>sectors.</w:t>
      </w:r>
      <w:r>
        <w:rPr>
          <w:color w:val="6E6158"/>
          <w:spacing w:val="80"/>
        </w:rPr>
        <w:t> </w:t>
      </w:r>
      <w:r>
        <w:rPr>
          <w:color w:val="6E6158"/>
        </w:rPr>
        <w:t>Dan</w:t>
      </w:r>
      <w:r>
        <w:rPr>
          <w:color w:val="6E6158"/>
          <w:spacing w:val="15"/>
        </w:rPr>
        <w:t> </w:t>
      </w:r>
      <w:r>
        <w:rPr>
          <w:color w:val="6E6158"/>
        </w:rPr>
        <w:t>leads a team that supports regulated firms with transactions, operational compliance, and licensing,</w:t>
      </w:r>
      <w:r>
        <w:rPr>
          <w:color w:val="6E6158"/>
          <w:spacing w:val="40"/>
        </w:rPr>
        <w:t> </w:t>
      </w:r>
      <w:r>
        <w:rPr>
          <w:color w:val="6E6158"/>
        </w:rPr>
        <w:t>permitting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  <w:r>
        <w:rPr>
          <w:color w:val="6E6158"/>
          <w:spacing w:val="21"/>
        </w:rPr>
        <w:t> </w:t>
      </w:r>
      <w:r>
        <w:rPr>
          <w:color w:val="6E6158"/>
        </w:rPr>
        <w:t>other</w:t>
      </w:r>
      <w:r>
        <w:rPr>
          <w:color w:val="6E6158"/>
          <w:spacing w:val="21"/>
        </w:rPr>
        <w:t> </w:t>
      </w:r>
      <w:r>
        <w:rPr>
          <w:color w:val="6E6158"/>
        </w:rPr>
        <w:t>proceedings</w:t>
      </w:r>
      <w:r>
        <w:rPr>
          <w:color w:val="6E6158"/>
          <w:spacing w:val="21"/>
        </w:rPr>
        <w:t> </w:t>
      </w:r>
      <w:r>
        <w:rPr>
          <w:color w:val="6E6158"/>
        </w:rPr>
        <w:t>before</w:t>
      </w:r>
      <w:r>
        <w:rPr>
          <w:color w:val="6E6158"/>
          <w:spacing w:val="21"/>
        </w:rPr>
        <w:t> </w:t>
      </w:r>
      <w:r>
        <w:rPr>
          <w:color w:val="6E6158"/>
        </w:rPr>
        <w:t>administrative</w:t>
      </w:r>
      <w:r>
        <w:rPr>
          <w:color w:val="6E6158"/>
          <w:spacing w:val="21"/>
        </w:rPr>
        <w:t> </w:t>
      </w:r>
      <w:r>
        <w:rPr>
          <w:color w:val="6E6158"/>
        </w:rPr>
        <w:t>agencies</w:t>
      </w:r>
      <w:r>
        <w:rPr>
          <w:color w:val="6E6158"/>
          <w:spacing w:val="21"/>
        </w:rPr>
        <w:t> </w:t>
      </w:r>
      <w:r>
        <w:rPr>
          <w:color w:val="6E6158"/>
        </w:rPr>
        <w:t>or</w:t>
      </w:r>
      <w:r>
        <w:rPr>
          <w:color w:val="6E6158"/>
          <w:spacing w:val="21"/>
        </w:rPr>
        <w:t> </w:t>
      </w:r>
      <w:r>
        <w:rPr>
          <w:color w:val="6E6158"/>
        </w:rPr>
        <w:t>other</w:t>
      </w:r>
      <w:r>
        <w:rPr>
          <w:color w:val="6E6158"/>
          <w:spacing w:val="21"/>
        </w:rPr>
        <w:t> </w:t>
      </w:r>
      <w:r>
        <w:rPr>
          <w:color w:val="6E6158"/>
        </w:rPr>
        <w:t>government</w:t>
      </w:r>
      <w:r>
        <w:rPr>
          <w:color w:val="6E6158"/>
          <w:spacing w:val="21"/>
        </w:rPr>
        <w:t> </w:t>
      </w:r>
      <w:r>
        <w:rPr>
          <w:color w:val="6E6158"/>
        </w:rPr>
        <w:t>bodies.</w:t>
      </w:r>
    </w:p>
    <w:p>
      <w:pPr>
        <w:pStyle w:val="BodyText"/>
        <w:spacing w:line="292" w:lineRule="auto"/>
        <w:ind w:right="295"/>
      </w:pPr>
      <w:r>
        <w:rPr>
          <w:color w:val="6E6158"/>
        </w:rPr>
        <w:t>His experience extends to government procurement disputes, judicial review of </w:t>
      </w:r>
      <w:r>
        <w:rPr>
          <w:color w:val="6E6158"/>
        </w:rPr>
        <w:t>government</w:t>
      </w:r>
      <w:r>
        <w:rPr>
          <w:color w:val="6E6158"/>
          <w:spacing w:val="40"/>
        </w:rPr>
        <w:t> </w:t>
      </w:r>
      <w:r>
        <w:rPr>
          <w:color w:val="6E6158"/>
        </w:rPr>
        <w:t>action, eminent domain and government relations strategy.</w:t>
      </w:r>
      <w:r>
        <w:rPr>
          <w:color w:val="6E6158"/>
          <w:spacing w:val="40"/>
        </w:rPr>
        <w:t> </w:t>
      </w:r>
      <w:r>
        <w:rPr>
          <w:color w:val="6E6158"/>
        </w:rPr>
        <w:t>He also undertakes unique</w:t>
      </w:r>
      <w:r>
        <w:rPr>
          <w:color w:val="6E6158"/>
          <w:spacing w:val="40"/>
        </w:rPr>
        <w:t> </w:t>
      </w:r>
      <w:r>
        <w:rPr>
          <w:color w:val="6E6158"/>
        </w:rPr>
        <w:t>assignments</w:t>
      </w:r>
      <w:r>
        <w:rPr>
          <w:color w:val="6E6158"/>
          <w:spacing w:val="29"/>
        </w:rPr>
        <w:t> </w:t>
      </w:r>
      <w:r>
        <w:rPr>
          <w:color w:val="6E6158"/>
        </w:rPr>
        <w:t>for</w:t>
      </w:r>
      <w:r>
        <w:rPr>
          <w:color w:val="6E6158"/>
          <w:spacing w:val="29"/>
        </w:rPr>
        <w:t> </w:t>
      </w:r>
      <w:r>
        <w:rPr>
          <w:color w:val="6E6158"/>
        </w:rPr>
        <w:t>local</w:t>
      </w:r>
      <w:r>
        <w:rPr>
          <w:color w:val="6E6158"/>
          <w:spacing w:val="29"/>
        </w:rPr>
        <w:t> </w:t>
      </w:r>
      <w:r>
        <w:rPr>
          <w:color w:val="6E6158"/>
        </w:rPr>
        <w:t>governments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projects</w:t>
      </w:r>
      <w:r>
        <w:rPr>
          <w:color w:val="6E6158"/>
          <w:spacing w:val="29"/>
        </w:rPr>
        <w:t> </w:t>
      </w:r>
      <w:r>
        <w:rPr>
          <w:color w:val="6E6158"/>
        </w:rPr>
        <w:t>that</w:t>
      </w:r>
      <w:r>
        <w:rPr>
          <w:color w:val="6E6158"/>
          <w:spacing w:val="29"/>
        </w:rPr>
        <w:t> </w:t>
      </w:r>
      <w:r>
        <w:rPr>
          <w:color w:val="6E6158"/>
        </w:rPr>
        <w:t>leverage</w:t>
      </w:r>
      <w:r>
        <w:rPr>
          <w:color w:val="6E6158"/>
          <w:spacing w:val="29"/>
        </w:rPr>
        <w:t> </w:t>
      </w:r>
      <w:r>
        <w:rPr>
          <w:color w:val="6E6158"/>
        </w:rPr>
        <w:t>his</w:t>
      </w:r>
      <w:r>
        <w:rPr>
          <w:color w:val="6E6158"/>
          <w:spacing w:val="29"/>
        </w:rPr>
        <w:t> </w:t>
      </w:r>
      <w:r>
        <w:rPr>
          <w:color w:val="6E6158"/>
        </w:rPr>
        <w:t>expertise.</w:t>
      </w:r>
      <w:r>
        <w:rPr>
          <w:color w:val="6E6158"/>
          <w:spacing w:val="80"/>
        </w:rPr>
        <w:t> </w:t>
      </w:r>
      <w:r>
        <w:rPr>
          <w:color w:val="6E6158"/>
        </w:rPr>
        <w:t>Dan</w:t>
      </w:r>
      <w:r>
        <w:rPr>
          <w:color w:val="6E6158"/>
          <w:spacing w:val="29"/>
        </w:rPr>
        <w:t> </w:t>
      </w:r>
      <w:r>
        <w:rPr>
          <w:color w:val="6E6158"/>
        </w:rPr>
        <w:t>is</w:t>
      </w:r>
      <w:r>
        <w:rPr>
          <w:color w:val="6E6158"/>
          <w:spacing w:val="29"/>
        </w:rPr>
        <w:t> </w:t>
      </w:r>
      <w:r>
        <w:rPr>
          <w:color w:val="6E6158"/>
        </w:rPr>
        <w:t>General</w:t>
      </w:r>
    </w:p>
    <w:p>
      <w:pPr>
        <w:pStyle w:val="BodyText"/>
        <w:spacing w:line="292" w:lineRule="auto" w:before="6"/>
        <w:ind w:right="295"/>
      </w:pPr>
      <w:r>
        <w:rPr>
          <w:color w:val="6E6158"/>
        </w:rPr>
        <w:t>Counsel to the firm’s client, Greater Nevada Credit Union, a state chartered financial institution</w:t>
      </w:r>
      <w:r>
        <w:rPr>
          <w:color w:val="6E6158"/>
          <w:spacing w:val="40"/>
        </w:rPr>
        <w:t> </w:t>
      </w:r>
      <w:r>
        <w:rPr>
          <w:color w:val="6E6158"/>
        </w:rPr>
        <w:t>founded in 1949 with over 1.7 billion in assets and more than 88,000 members.</w:t>
      </w:r>
    </w:p>
    <w:p>
      <w:pPr>
        <w:pStyle w:val="BodyText"/>
        <w:spacing w:line="292" w:lineRule="auto" w:before="196"/>
        <w:ind w:right="223"/>
      </w:pPr>
      <w:r>
        <w:rPr>
          <w:color w:val="6E6158"/>
        </w:rPr>
        <w:t>Dan currently is the Chair of the Nevada Taxicab Authority Board, a five member citizen panel</w:t>
      </w:r>
      <w:r>
        <w:rPr>
          <w:color w:val="6E6158"/>
          <w:spacing w:val="40"/>
        </w:rPr>
        <w:t> </w:t>
      </w:r>
      <w:r>
        <w:rPr>
          <w:color w:val="6E6158"/>
        </w:rPr>
        <w:t>appointed</w:t>
      </w:r>
      <w:r>
        <w:rPr>
          <w:color w:val="6E6158"/>
          <w:spacing w:val="30"/>
        </w:rPr>
        <w:t> </w:t>
      </w:r>
      <w:r>
        <w:rPr>
          <w:color w:val="6E6158"/>
        </w:rPr>
        <w:t>by</w:t>
      </w:r>
      <w:r>
        <w:rPr>
          <w:color w:val="6E6158"/>
          <w:spacing w:val="30"/>
        </w:rPr>
        <w:t> </w:t>
      </w:r>
      <w:r>
        <w:rPr>
          <w:color w:val="6E6158"/>
        </w:rPr>
        <w:t>Nevada’s</w:t>
      </w:r>
      <w:r>
        <w:rPr>
          <w:color w:val="6E6158"/>
          <w:spacing w:val="30"/>
        </w:rPr>
        <w:t> </w:t>
      </w:r>
      <w:r>
        <w:rPr>
          <w:color w:val="6E6158"/>
        </w:rPr>
        <w:t>Governor,</w:t>
      </w:r>
      <w:r>
        <w:rPr>
          <w:color w:val="6E6158"/>
          <w:spacing w:val="30"/>
        </w:rPr>
        <w:t> </w:t>
      </w:r>
      <w:r>
        <w:rPr>
          <w:color w:val="6E6158"/>
        </w:rPr>
        <w:t>with</w:t>
      </w:r>
      <w:r>
        <w:rPr>
          <w:color w:val="6E6158"/>
          <w:spacing w:val="30"/>
        </w:rPr>
        <w:t> </w:t>
      </w:r>
      <w:r>
        <w:rPr>
          <w:color w:val="6E6158"/>
        </w:rPr>
        <w:t>oversight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licensed</w:t>
      </w:r>
      <w:r>
        <w:rPr>
          <w:color w:val="6E6158"/>
          <w:spacing w:val="30"/>
        </w:rPr>
        <w:t> </w:t>
      </w:r>
      <w:r>
        <w:rPr>
          <w:color w:val="6E6158"/>
        </w:rPr>
        <w:t>taxicab</w:t>
      </w:r>
      <w:r>
        <w:rPr>
          <w:color w:val="6E6158"/>
          <w:spacing w:val="30"/>
        </w:rPr>
        <w:t> </w:t>
      </w:r>
      <w:r>
        <w:rPr>
          <w:color w:val="6E6158"/>
        </w:rPr>
        <w:t>industry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Clark</w:t>
      </w:r>
    </w:p>
    <w:p>
      <w:pPr>
        <w:pStyle w:val="BodyText"/>
        <w:spacing w:line="292" w:lineRule="auto" w:before="9"/>
        <w:ind w:right="295"/>
      </w:pPr>
      <w:r>
        <w:rPr>
          <w:color w:val="6E6158"/>
        </w:rPr>
        <w:t>County, Nevada.</w:t>
      </w:r>
      <w:r>
        <w:rPr>
          <w:color w:val="6E6158"/>
          <w:spacing w:val="80"/>
        </w:rPr>
        <w:t> </w:t>
      </w:r>
      <w:r>
        <w:rPr>
          <w:color w:val="6E6158"/>
        </w:rPr>
        <w:t>He previously was the Chair of both the Nevada Private Investigators </w:t>
      </w:r>
      <w:r>
        <w:rPr>
          <w:color w:val="6E6158"/>
        </w:rPr>
        <w:t>Licensing Board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Nevada</w:t>
      </w:r>
      <w:r>
        <w:rPr>
          <w:color w:val="6E6158"/>
          <w:spacing w:val="32"/>
        </w:rPr>
        <w:t> </w:t>
      </w:r>
      <w:r>
        <w:rPr>
          <w:color w:val="6E6158"/>
        </w:rPr>
        <w:t>Standing</w:t>
      </w:r>
      <w:r>
        <w:rPr>
          <w:color w:val="6E6158"/>
          <w:spacing w:val="32"/>
        </w:rPr>
        <w:t> </w:t>
      </w:r>
      <w:r>
        <w:rPr>
          <w:color w:val="6E6158"/>
        </w:rPr>
        <w:t>Committee</w:t>
      </w:r>
      <w:r>
        <w:rPr>
          <w:color w:val="6E6158"/>
          <w:spacing w:val="32"/>
        </w:rPr>
        <w:t> </w:t>
      </w:r>
      <w:r>
        <w:rPr>
          <w:color w:val="6E6158"/>
        </w:rPr>
        <w:t>on</w:t>
      </w:r>
      <w:r>
        <w:rPr>
          <w:color w:val="6E6158"/>
          <w:spacing w:val="32"/>
        </w:rPr>
        <w:t> </w:t>
      </w:r>
      <w:r>
        <w:rPr>
          <w:color w:val="6E6158"/>
        </w:rPr>
        <w:t>Judicial</w:t>
      </w:r>
      <w:r>
        <w:rPr>
          <w:color w:val="6E6158"/>
          <w:spacing w:val="32"/>
        </w:rPr>
        <w:t> </w:t>
      </w:r>
      <w:r>
        <w:rPr>
          <w:color w:val="6E6158"/>
        </w:rPr>
        <w:t>Ethics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Elections</w:t>
      </w:r>
      <w:r>
        <w:rPr>
          <w:color w:val="6E6158"/>
          <w:spacing w:val="32"/>
        </w:rPr>
        <w:t> </w:t>
      </w:r>
      <w:r>
        <w:rPr>
          <w:color w:val="6E6158"/>
        </w:rPr>
        <w:t>Practices.</w:t>
      </w:r>
      <w:r>
        <w:rPr>
          <w:color w:val="6E6158"/>
          <w:spacing w:val="32"/>
        </w:rPr>
        <w:t> </w:t>
      </w:r>
      <w:r>
        <w:rPr>
          <w:color w:val="6E6158"/>
        </w:rPr>
        <w:t>Dan served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Office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Attorney</w:t>
      </w:r>
      <w:r>
        <w:rPr>
          <w:color w:val="6E6158"/>
          <w:spacing w:val="25"/>
        </w:rPr>
        <w:t> </w:t>
      </w:r>
      <w:r>
        <w:rPr>
          <w:color w:val="6E6158"/>
        </w:rPr>
        <w:t>General</w:t>
      </w:r>
      <w:r>
        <w:rPr>
          <w:color w:val="6E6158"/>
          <w:spacing w:val="25"/>
        </w:rPr>
        <w:t> </w:t>
      </w:r>
      <w:r>
        <w:rPr>
          <w:color w:val="6E6158"/>
        </w:rPr>
        <w:t>for</w:t>
      </w:r>
      <w:r>
        <w:rPr>
          <w:color w:val="6E6158"/>
          <w:spacing w:val="25"/>
        </w:rPr>
        <w:t> </w:t>
      </w:r>
      <w:r>
        <w:rPr>
          <w:color w:val="6E6158"/>
        </w:rPr>
        <w:t>Nevada</w:t>
      </w:r>
      <w:r>
        <w:rPr>
          <w:color w:val="6E6158"/>
          <w:spacing w:val="25"/>
        </w:rPr>
        <w:t> </w:t>
      </w:r>
      <w:r>
        <w:rPr>
          <w:color w:val="6E6158"/>
        </w:rPr>
        <w:t>as</w:t>
      </w:r>
      <w:r>
        <w:rPr>
          <w:color w:val="6E6158"/>
          <w:spacing w:val="25"/>
        </w:rPr>
        <w:t> </w:t>
      </w:r>
      <w:r>
        <w:rPr>
          <w:color w:val="6E6158"/>
        </w:rPr>
        <w:t>Chief</w:t>
      </w:r>
      <w:r>
        <w:rPr>
          <w:color w:val="6E6158"/>
          <w:spacing w:val="25"/>
        </w:rPr>
        <w:t> </w:t>
      </w:r>
      <w:r>
        <w:rPr>
          <w:color w:val="6E6158"/>
        </w:rPr>
        <w:t>Deputy</w:t>
      </w:r>
      <w:r>
        <w:rPr>
          <w:color w:val="6E6158"/>
          <w:spacing w:val="25"/>
        </w:rPr>
        <w:t> </w:t>
      </w:r>
      <w:r>
        <w:rPr>
          <w:color w:val="6E6158"/>
        </w:rPr>
        <w:t>for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Gaming</w:t>
      </w:r>
    </w:p>
    <w:p>
      <w:pPr>
        <w:pStyle w:val="BodyText"/>
        <w:spacing w:line="297" w:lineRule="auto" w:before="2"/>
        <w:ind w:right="285"/>
      </w:pPr>
      <w:r>
        <w:rPr>
          <w:color w:val="6E6158"/>
        </w:rPr>
        <w:t>Division, where he represented the Nevada Gaming Commission and the Nevada Gaming</w:t>
      </w:r>
      <w:r>
        <w:rPr>
          <w:color w:val="6E6158"/>
          <w:spacing w:val="40"/>
        </w:rPr>
        <w:t> </w:t>
      </w:r>
      <w:r>
        <w:rPr>
          <w:color w:val="6E6158"/>
        </w:rPr>
        <w:t>Board.</w:t>
      </w:r>
      <w:r>
        <w:rPr>
          <w:color w:val="6E6158"/>
          <w:spacing w:val="14"/>
        </w:rPr>
        <w:t> </w:t>
      </w:r>
      <w:r>
        <w:rPr>
          <w:color w:val="6E6158"/>
        </w:rPr>
        <w:t>He</w:t>
      </w:r>
      <w:r>
        <w:rPr>
          <w:color w:val="6E6158"/>
          <w:spacing w:val="14"/>
        </w:rPr>
        <w:t> </w:t>
      </w:r>
      <w:r>
        <w:rPr>
          <w:color w:val="6E6158"/>
        </w:rPr>
        <w:t>was</w:t>
      </w:r>
      <w:r>
        <w:rPr>
          <w:color w:val="6E6158"/>
          <w:spacing w:val="14"/>
        </w:rPr>
        <w:t> </w:t>
      </w:r>
      <w:r>
        <w:rPr>
          <w:color w:val="6E6158"/>
        </w:rPr>
        <w:t>Chief</w:t>
      </w:r>
      <w:r>
        <w:rPr>
          <w:color w:val="6E6158"/>
          <w:spacing w:val="14"/>
        </w:rPr>
        <w:t> </w:t>
      </w:r>
      <w:r>
        <w:rPr>
          <w:color w:val="6E6158"/>
        </w:rPr>
        <w:t>Counsel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Nevada</w:t>
      </w:r>
      <w:r>
        <w:rPr>
          <w:color w:val="6E6158"/>
          <w:spacing w:val="14"/>
        </w:rPr>
        <w:t> </w:t>
      </w:r>
      <w:r>
        <w:rPr>
          <w:color w:val="6E6158"/>
        </w:rPr>
        <w:t>Department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Transportation.</w:t>
      </w:r>
      <w:r>
        <w:rPr>
          <w:color w:val="6E6158"/>
          <w:spacing w:val="14"/>
        </w:rPr>
        <w:t> </w:t>
      </w:r>
      <w:r>
        <w:rPr>
          <w:color w:val="6E6158"/>
        </w:rPr>
        <w:t>During</w:t>
      </w:r>
      <w:r>
        <w:rPr>
          <w:color w:val="6E6158"/>
          <w:spacing w:val="14"/>
        </w:rPr>
        <w:t> </w:t>
      </w:r>
      <w:r>
        <w:rPr>
          <w:color w:val="6E6158"/>
        </w:rPr>
        <w:t>his</w:t>
      </w:r>
      <w:r>
        <w:rPr>
          <w:color w:val="6E6158"/>
          <w:spacing w:val="14"/>
        </w:rPr>
        <w:t> </w:t>
      </w:r>
      <w:r>
        <w:rPr>
          <w:color w:val="6E6158"/>
        </w:rPr>
        <w:t>tenure</w:t>
      </w:r>
      <w:r>
        <w:rPr>
          <w:color w:val="6E6158"/>
          <w:spacing w:val="14"/>
        </w:rPr>
        <w:t> </w:t>
      </w:r>
      <w:r>
        <w:rPr>
          <w:color w:val="6E6158"/>
        </w:rPr>
        <w:t>as a</w:t>
      </w:r>
      <w:r>
        <w:rPr>
          <w:color w:val="6E6158"/>
          <w:spacing w:val="31"/>
        </w:rPr>
        <w:t> </w:t>
      </w:r>
      <w:r>
        <w:rPr>
          <w:color w:val="6E6158"/>
        </w:rPr>
        <w:t>deputy</w:t>
      </w:r>
      <w:r>
        <w:rPr>
          <w:color w:val="6E6158"/>
          <w:spacing w:val="31"/>
        </w:rPr>
        <w:t> </w:t>
      </w:r>
      <w:r>
        <w:rPr>
          <w:color w:val="6E6158"/>
        </w:rPr>
        <w:t>attorney</w:t>
      </w:r>
      <w:r>
        <w:rPr>
          <w:color w:val="6E6158"/>
          <w:spacing w:val="31"/>
        </w:rPr>
        <w:t> </w:t>
      </w:r>
      <w:r>
        <w:rPr>
          <w:color w:val="6E6158"/>
        </w:rPr>
        <w:t>general,</w:t>
      </w:r>
      <w:r>
        <w:rPr>
          <w:color w:val="6E6158"/>
          <w:spacing w:val="31"/>
        </w:rPr>
        <w:t> </w:t>
      </w:r>
      <w:r>
        <w:rPr>
          <w:color w:val="6E6158"/>
        </w:rPr>
        <w:t>Dan</w:t>
      </w:r>
      <w:r>
        <w:rPr>
          <w:color w:val="6E6158"/>
          <w:spacing w:val="31"/>
        </w:rPr>
        <w:t> </w:t>
      </w:r>
      <w:r>
        <w:rPr>
          <w:color w:val="6E6158"/>
        </w:rPr>
        <w:t>was</w:t>
      </w:r>
      <w:r>
        <w:rPr>
          <w:color w:val="6E6158"/>
          <w:spacing w:val="31"/>
        </w:rPr>
        <w:t> </w:t>
      </w:r>
      <w:r>
        <w:rPr>
          <w:color w:val="6E6158"/>
        </w:rPr>
        <w:t>counsel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Nevada</w:t>
      </w:r>
      <w:r>
        <w:rPr>
          <w:color w:val="6E6158"/>
          <w:spacing w:val="31"/>
        </w:rPr>
        <w:t> </w:t>
      </w:r>
      <w:r>
        <w:rPr>
          <w:color w:val="6E6158"/>
        </w:rPr>
        <w:t>Commissions</w:t>
      </w:r>
      <w:r>
        <w:rPr>
          <w:color w:val="6E6158"/>
          <w:spacing w:val="31"/>
        </w:rPr>
        <w:t> </w:t>
      </w:r>
      <w:r>
        <w:rPr>
          <w:color w:val="6E6158"/>
        </w:rPr>
        <w:t>on</w:t>
      </w:r>
      <w:r>
        <w:rPr>
          <w:color w:val="6E6158"/>
          <w:spacing w:val="31"/>
        </w:rPr>
        <w:t> </w:t>
      </w:r>
      <w:r>
        <w:rPr>
          <w:color w:val="6E6158"/>
        </w:rPr>
        <w:t>Economic</w:t>
      </w:r>
    </w:p>
    <w:p>
      <w:pPr>
        <w:pStyle w:val="BodyText"/>
        <w:spacing w:line="302" w:lineRule="auto"/>
        <w:ind w:right="295"/>
      </w:pPr>
      <w:r>
        <w:rPr>
          <w:color w:val="6E6158"/>
        </w:rPr>
        <w:t>Development, Tourism and Environmental Protection, and the State Departments of </w:t>
      </w:r>
      <w:r>
        <w:rPr>
          <w:color w:val="6E6158"/>
        </w:rPr>
        <w:t>Agriculture,</w:t>
      </w:r>
      <w:r>
        <w:rPr>
          <w:color w:val="6E6158"/>
          <w:spacing w:val="40"/>
        </w:rPr>
        <w:t> </w:t>
      </w:r>
      <w:r>
        <w:rPr>
          <w:color w:val="6E6158"/>
        </w:rPr>
        <w:t>Corrections, Minerals and Wildlife.</w:t>
      </w:r>
    </w:p>
    <w:p>
      <w:pPr>
        <w:pStyle w:val="BodyText"/>
        <w:spacing w:line="292" w:lineRule="auto" w:before="182"/>
        <w:ind w:right="295"/>
      </w:pPr>
      <w:r>
        <w:rPr>
          <w:color w:val="6E6158"/>
        </w:rPr>
        <w:t>When time permits, you can find Dan with family in the beloved Sierra Nevada.</w:t>
      </w:r>
      <w:r>
        <w:rPr>
          <w:color w:val="6E6158"/>
          <w:spacing w:val="80"/>
        </w:rPr>
        <w:t> </w:t>
      </w:r>
      <w:r>
        <w:rPr>
          <w:color w:val="6E6158"/>
        </w:rPr>
        <w:t>A red Old Town Loon 111 kayak, a Trek Rockhopper mountain bike and a very comfortable pair of Vasque hiking</w:t>
      </w:r>
      <w:r>
        <w:rPr>
          <w:color w:val="6E6158"/>
          <w:spacing w:val="40"/>
        </w:rPr>
        <w:t> </w:t>
      </w:r>
      <w:r>
        <w:rPr>
          <w:color w:val="6E6158"/>
        </w:rPr>
        <w:t>boots are always at the ready.</w:t>
      </w:r>
    </w:p>
    <w:p>
      <w:pPr>
        <w:pStyle w:val="Heading2"/>
        <w:spacing w:before="172"/>
      </w:pPr>
      <w:r>
        <w:rPr>
          <w:color w:val="FF8100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J.D.,</w:t>
      </w:r>
      <w:r>
        <w:rPr>
          <w:color w:val="6E6158"/>
          <w:spacing w:val="11"/>
        </w:rPr>
        <w:t> </w:t>
      </w:r>
      <w:r>
        <w:rPr>
          <w:color w:val="6E6158"/>
        </w:rPr>
        <w:t>California</w:t>
      </w:r>
      <w:r>
        <w:rPr>
          <w:color w:val="6E6158"/>
          <w:spacing w:val="12"/>
        </w:rPr>
        <w:t> </w:t>
      </w:r>
      <w:r>
        <w:rPr>
          <w:color w:val="6E6158"/>
        </w:rPr>
        <w:t>Western</w:t>
      </w:r>
      <w:r>
        <w:rPr>
          <w:color w:val="6E6158"/>
          <w:spacing w:val="12"/>
        </w:rPr>
        <w:t> </w:t>
      </w:r>
      <w:r>
        <w:rPr>
          <w:color w:val="6E6158"/>
        </w:rPr>
        <w:t>School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74"/>
      </w:pPr>
      <w:r>
        <w:rPr>
          <w:color w:val="6E6158"/>
        </w:rPr>
        <w:t>B.A.,</w:t>
      </w:r>
      <w:r>
        <w:rPr>
          <w:color w:val="6E6158"/>
          <w:spacing w:val="15"/>
        </w:rPr>
        <w:t> </w:t>
      </w:r>
      <w:r>
        <w:rPr>
          <w:color w:val="6E6158"/>
        </w:rPr>
        <w:t>California</w:t>
      </w:r>
      <w:r>
        <w:rPr>
          <w:color w:val="6E6158"/>
          <w:spacing w:val="15"/>
        </w:rPr>
        <w:t> </w:t>
      </w:r>
      <w:r>
        <w:rPr>
          <w:color w:val="6E6158"/>
        </w:rPr>
        <w:t>State</w:t>
      </w:r>
      <w:r>
        <w:rPr>
          <w:color w:val="6E6158"/>
          <w:spacing w:val="15"/>
        </w:rPr>
        <w:t> </w:t>
      </w:r>
      <w:r>
        <w:rPr>
          <w:color w:val="6E6158"/>
        </w:rPr>
        <w:t>University,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Fullerton</w:t>
      </w:r>
    </w:p>
    <w:p>
      <w:pPr>
        <w:pStyle w:val="BodyText"/>
        <w:spacing w:before="171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line="528" w:lineRule="exact" w:before="45"/>
        <w:ind w:right="6136"/>
      </w:pPr>
      <w:r>
        <w:rPr>
          <w:color w:val="6E6158"/>
        </w:rPr>
        <w:t>Government </w:t>
      </w:r>
      <w:r>
        <w:rPr>
          <w:color w:val="6E6158"/>
        </w:rPr>
        <w:t>Procurement Business &amp; Finance</w:t>
      </w:r>
    </w:p>
    <w:p>
      <w:pPr>
        <w:pStyle w:val="BodyText"/>
        <w:spacing w:line="420" w:lineRule="auto" w:before="120"/>
        <w:ind w:right="5229"/>
      </w:pPr>
      <w:r>
        <w:rPr>
          <w:color w:val="6E6158"/>
        </w:rPr>
        <w:t>Government Relations &amp; </w:t>
      </w:r>
      <w:r>
        <w:rPr>
          <w:color w:val="6E6158"/>
        </w:rPr>
        <w:t>Regulatory Gaming &amp; Hospitality</w:t>
      </w:r>
    </w:p>
    <w:p>
      <w:pPr>
        <w:pStyle w:val="BodyText"/>
        <w:spacing w:line="231" w:lineRule="exact"/>
      </w:pPr>
      <w:r>
        <w:rPr>
          <w:color w:val="6E6158"/>
        </w:rPr>
        <w:t>Natural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Resources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295"/>
      </w:pPr>
      <w:r>
        <w:rPr>
          <w:color w:val="6E6158"/>
        </w:rPr>
        <w:t>2026 engagement by Bally’s Corporation on Nevada Gaming Commission approvals for credit</w:t>
      </w:r>
      <w:r>
        <w:rPr>
          <w:color w:val="6E6158"/>
          <w:spacing w:val="40"/>
        </w:rPr>
        <w:t> </w:t>
      </w:r>
      <w:r>
        <w:rPr>
          <w:color w:val="6E6158"/>
        </w:rPr>
        <w:t>facilities in connection with sale of international interactive business and acquisition of interest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Intralot, S.A.</w:t>
      </w:r>
    </w:p>
    <w:p>
      <w:pPr>
        <w:pStyle w:val="BodyText"/>
        <w:spacing w:line="302" w:lineRule="auto" w:before="124"/>
        <w:ind w:right="295"/>
      </w:pPr>
      <w:r>
        <w:rPr>
          <w:color w:val="6E6158"/>
        </w:rPr>
        <w:t>Successful defense in 2026 of approval and award of contract for restaurant services at the</w:t>
      </w:r>
      <w:r>
        <w:rPr>
          <w:color w:val="6E6158"/>
          <w:spacing w:val="40"/>
        </w:rPr>
        <w:t> </w:t>
      </w:r>
      <w:r>
        <w:rPr>
          <w:color w:val="6E6158"/>
        </w:rPr>
        <w:t>Hoover</w:t>
      </w:r>
      <w:r>
        <w:rPr>
          <w:color w:val="6E6158"/>
          <w:spacing w:val="37"/>
        </w:rPr>
        <w:t> </w:t>
      </w:r>
      <w:r>
        <w:rPr>
          <w:color w:val="6E6158"/>
        </w:rPr>
        <w:t>Dam</w:t>
      </w:r>
      <w:r>
        <w:rPr>
          <w:color w:val="6E6158"/>
          <w:spacing w:val="37"/>
        </w:rPr>
        <w:t> </w:t>
      </w:r>
      <w:r>
        <w:rPr>
          <w:color w:val="6E6158"/>
        </w:rPr>
        <w:t>Café</w:t>
      </w:r>
      <w:r>
        <w:rPr>
          <w:color w:val="6E6158"/>
          <w:spacing w:val="37"/>
        </w:rPr>
        <w:t> </w:t>
      </w:r>
      <w:r>
        <w:rPr>
          <w:color w:val="6E6158"/>
        </w:rPr>
        <w:t>by</w:t>
      </w:r>
      <w:r>
        <w:rPr>
          <w:color w:val="6E6158"/>
          <w:spacing w:val="37"/>
        </w:rPr>
        <w:t> </w:t>
      </w:r>
      <w:r>
        <w:rPr>
          <w:color w:val="6E6158"/>
        </w:rPr>
        <w:t>Nevada</w:t>
      </w:r>
      <w:r>
        <w:rPr>
          <w:color w:val="6E6158"/>
          <w:spacing w:val="37"/>
        </w:rPr>
        <w:t> </w:t>
      </w:r>
      <w:r>
        <w:rPr>
          <w:color w:val="6E6158"/>
        </w:rPr>
        <w:t>Department</w:t>
      </w:r>
      <w:r>
        <w:rPr>
          <w:color w:val="6E6158"/>
          <w:spacing w:val="37"/>
        </w:rPr>
        <w:t> </w:t>
      </w:r>
      <w:r>
        <w:rPr>
          <w:color w:val="6E6158"/>
        </w:rPr>
        <w:t>of</w:t>
      </w:r>
      <w:r>
        <w:rPr>
          <w:color w:val="6E6158"/>
          <w:spacing w:val="37"/>
        </w:rPr>
        <w:t> </w:t>
      </w:r>
      <w:r>
        <w:rPr>
          <w:color w:val="6E6158"/>
        </w:rPr>
        <w:t>Employment,</w:t>
      </w:r>
      <w:r>
        <w:rPr>
          <w:color w:val="6E6158"/>
          <w:spacing w:val="37"/>
        </w:rPr>
        <w:t> </w:t>
      </w:r>
      <w:r>
        <w:rPr>
          <w:color w:val="6E6158"/>
        </w:rPr>
        <w:t>Training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Rehabilitation.</w:t>
      </w:r>
    </w:p>
    <w:p>
      <w:pPr>
        <w:pStyle w:val="BodyText"/>
        <w:spacing w:line="292" w:lineRule="auto" w:before="113"/>
        <w:ind w:right="325"/>
      </w:pPr>
      <w:r>
        <w:rPr>
          <w:color w:val="6E6158"/>
        </w:rPr>
        <w:t>2025 engagement as Nevada gaming regulatory counsel to private equity firm in negotiation</w:t>
      </w:r>
      <w:r>
        <w:rPr>
          <w:color w:val="6E6158"/>
          <w:spacing w:val="40"/>
        </w:rPr>
        <w:t> </w:t>
      </w:r>
      <w:r>
        <w:rPr>
          <w:color w:val="6E6158"/>
        </w:rPr>
        <w:t>and preparation of lease and management agreement for Las Vegas resort hotel with Nevada</w:t>
      </w:r>
      <w:r>
        <w:rPr>
          <w:color w:val="6E6158"/>
          <w:spacing w:val="40"/>
        </w:rPr>
        <w:t> </w:t>
      </w:r>
      <w:r>
        <w:rPr>
          <w:color w:val="6E6158"/>
        </w:rPr>
        <w:t>nonrestricted gaming licensee.</w:t>
      </w:r>
    </w:p>
    <w:p>
      <w:pPr>
        <w:pStyle w:val="BodyText"/>
        <w:spacing w:line="292" w:lineRule="auto" w:before="132"/>
        <w:ind w:right="325"/>
      </w:pPr>
      <w:r>
        <w:rPr>
          <w:color w:val="6E6158"/>
        </w:rPr>
        <w:t>Representation in 2025 of global gaming technology independent test laboratory in </w:t>
      </w:r>
      <w:r>
        <w:rPr>
          <w:color w:val="6E6158"/>
        </w:rPr>
        <w:t>registration</w:t>
      </w:r>
      <w:r>
        <w:rPr>
          <w:color w:val="6E6158"/>
          <w:spacing w:val="80"/>
        </w:rPr>
        <w:t> </w:t>
      </w:r>
      <w:r>
        <w:rPr>
          <w:color w:val="6E6158"/>
        </w:rPr>
        <w:t>of multiple international facilities and key employees.</w:t>
      </w:r>
    </w:p>
    <w:p>
      <w:pPr>
        <w:pStyle w:val="BodyText"/>
        <w:spacing w:line="297" w:lineRule="auto" w:before="123"/>
        <w:ind w:right="295"/>
      </w:pPr>
      <w:r>
        <w:rPr>
          <w:color w:val="6E6158"/>
        </w:rPr>
        <w:t>2025 Engagement to negotiate and document lease and operating agreement on behalf of</w:t>
      </w:r>
      <w:r>
        <w:rPr>
          <w:color w:val="6E6158"/>
          <w:spacing w:val="40"/>
        </w:rPr>
        <w:t> </w:t>
      </w:r>
      <w:r>
        <w:rPr>
          <w:color w:val="6E6158"/>
        </w:rPr>
        <w:t>nonrestricted gaming licensee for third-party development of sportsbook and race pool at </w:t>
      </w:r>
      <w:r>
        <w:rPr>
          <w:color w:val="6E6158"/>
        </w:rPr>
        <w:t>Las</w:t>
      </w:r>
      <w:r>
        <w:rPr>
          <w:color w:val="6E6158"/>
          <w:spacing w:val="40"/>
        </w:rPr>
        <w:t> </w:t>
      </w:r>
      <w:r>
        <w:rPr>
          <w:color w:val="6E6158"/>
        </w:rPr>
        <w:t>Vegas casino.</w:t>
      </w:r>
    </w:p>
    <w:p>
      <w:pPr>
        <w:pStyle w:val="BodyText"/>
        <w:spacing w:line="297" w:lineRule="auto" w:before="118"/>
        <w:ind w:right="399"/>
        <w:jc w:val="both"/>
      </w:pPr>
      <w:r>
        <w:rPr>
          <w:color w:val="6E6158"/>
        </w:rPr>
        <w:t>Representations in 2024 director and key executive licensing and suitability determinations by Nevada Gaming Commission for Tracy Harris, Marcus Glover, Ameet Patel and Arik Knowles of Bally’s Corporation.</w:t>
      </w:r>
    </w:p>
    <w:p>
      <w:pPr>
        <w:pStyle w:val="BodyText"/>
        <w:spacing w:line="295" w:lineRule="auto" w:before="119"/>
        <w:ind w:right="295"/>
      </w:pPr>
      <w:r>
        <w:rPr>
          <w:color w:val="6E6158"/>
        </w:rPr>
        <w:t>Regulatory support of Association of Gaming Equipment Manufactures in Nevada Gaming</w:t>
      </w:r>
      <w:r>
        <w:rPr>
          <w:color w:val="6E6158"/>
          <w:spacing w:val="40"/>
        </w:rPr>
        <w:t> </w:t>
      </w:r>
      <w:r>
        <w:rPr>
          <w:color w:val="6E6158"/>
        </w:rPr>
        <w:t>Control Board public workshops and working group sessions to improve gaming technology</w:t>
      </w:r>
      <w:r>
        <w:rPr>
          <w:color w:val="6E6158"/>
          <w:spacing w:val="40"/>
        </w:rPr>
        <w:t> </w:t>
      </w:r>
      <w:r>
        <w:rPr>
          <w:color w:val="6E6158"/>
        </w:rPr>
        <w:t>methods and efficiencies culminating in adoption of Gaming Technology Approval </w:t>
      </w:r>
      <w:r>
        <w:rPr>
          <w:color w:val="6E6158"/>
        </w:rPr>
        <w:t>Guidelines</w:t>
      </w:r>
      <w:r>
        <w:rPr>
          <w:color w:val="6E6158"/>
          <w:spacing w:val="40"/>
        </w:rPr>
        <w:t> </w:t>
      </w:r>
      <w:r>
        <w:rPr>
          <w:color w:val="6E6158"/>
        </w:rPr>
        <w:t>(Notice No. 2024-53 dated May 28, 2024).</w:t>
      </w:r>
    </w:p>
    <w:p>
      <w:pPr>
        <w:pStyle w:val="BodyText"/>
        <w:spacing w:line="292" w:lineRule="auto" w:before="123"/>
        <w:ind w:right="295"/>
      </w:pPr>
      <w:r>
        <w:rPr>
          <w:color w:val="6E6158"/>
        </w:rPr>
        <w:t>Engagement by Bally’s Corporation in 2023 registration and approvals by Nevada </w:t>
      </w:r>
      <w:r>
        <w:rPr>
          <w:color w:val="6E6158"/>
        </w:rPr>
        <w:t>Gaming</w:t>
      </w:r>
      <w:r>
        <w:rPr>
          <w:color w:val="6E6158"/>
          <w:spacing w:val="40"/>
        </w:rPr>
        <w:t> </w:t>
      </w:r>
      <w:r>
        <w:rPr>
          <w:color w:val="6E6158"/>
        </w:rPr>
        <w:t>Commission for corporate holding company reorganization.</w:t>
      </w:r>
    </w:p>
    <w:p>
      <w:pPr>
        <w:pStyle w:val="BodyText"/>
        <w:spacing w:line="297" w:lineRule="auto" w:before="123"/>
        <w:ind w:right="325"/>
      </w:pPr>
      <w:r>
        <w:rPr>
          <w:color w:val="6E6158"/>
        </w:rPr>
        <w:t>2023 engagement by Robert Parker, Inc. for transactional and Nevada Gaming </w:t>
      </w:r>
      <w:r>
        <w:rPr>
          <w:color w:val="6E6158"/>
        </w:rPr>
        <w:t>Commission regulatory approvals in acquisition of multi-property gaming establishment operations at</w:t>
      </w:r>
      <w:r>
        <w:rPr>
          <w:color w:val="6E6158"/>
          <w:spacing w:val="40"/>
        </w:rPr>
        <w:t> </w:t>
      </w:r>
      <w:r>
        <w:rPr>
          <w:color w:val="6E6158"/>
        </w:rPr>
        <w:t>interstate travel facilities from Travel Centers of America, Inc.</w:t>
      </w:r>
    </w:p>
    <w:p>
      <w:pPr>
        <w:pStyle w:val="BodyText"/>
        <w:spacing w:line="302" w:lineRule="auto" w:before="118"/>
        <w:ind w:right="295"/>
      </w:pPr>
      <w:r>
        <w:rPr>
          <w:color w:val="6E6158"/>
        </w:rPr>
        <w:t>Provide Nevada transactional and regulatory counsel to private equity firm in connection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2023 mezzanine loan of $400 million to Nevada nonrestricted gaming licensee.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7" w:lineRule="auto" w:before="83"/>
        <w:ind w:right="340"/>
      </w:pPr>
      <w:r>
        <w:rPr>
          <w:color w:val="6E6158"/>
        </w:rPr>
        <w:t>2023 representation of closely-held Nevada gaming holding company in transactional and</w:t>
      </w:r>
      <w:r>
        <w:rPr>
          <w:color w:val="6E6158"/>
          <w:spacing w:val="40"/>
        </w:rPr>
        <w:t> </w:t>
      </w:r>
      <w:r>
        <w:rPr>
          <w:color w:val="6E6158"/>
        </w:rPr>
        <w:t>regulatory compliance aspects of sale of five location casino and restricted operation </w:t>
      </w:r>
      <w:r>
        <w:rPr>
          <w:color w:val="6E6158"/>
        </w:rPr>
        <w:t>portfolio</w:t>
      </w:r>
      <w:r>
        <w:rPr>
          <w:color w:val="6E6158"/>
          <w:spacing w:val="80"/>
        </w:rPr>
        <w:t> </w:t>
      </w:r>
      <w:r>
        <w:rPr>
          <w:color w:val="6E6158"/>
        </w:rPr>
        <w:t>to Truckee Gaming, LLC.</w:t>
      </w:r>
    </w:p>
    <w:p>
      <w:pPr>
        <w:pStyle w:val="BodyText"/>
        <w:spacing w:line="292" w:lineRule="auto" w:before="118"/>
        <w:ind w:right="325"/>
      </w:pPr>
      <w:r>
        <w:rPr>
          <w:color w:val="6E6158"/>
        </w:rPr>
        <w:t>Representation in 2022 of Great Basin Water Company in consolidated general rate </w:t>
      </w:r>
      <w:r>
        <w:rPr>
          <w:color w:val="6E6158"/>
        </w:rPr>
        <w:t>case resolved</w:t>
      </w:r>
      <w:r>
        <w:rPr>
          <w:color w:val="6E6158"/>
          <w:spacing w:val="36"/>
        </w:rPr>
        <w:t> </w:t>
      </w:r>
      <w:r>
        <w:rPr>
          <w:color w:val="6E6158"/>
        </w:rPr>
        <w:t>by</w:t>
      </w:r>
      <w:r>
        <w:rPr>
          <w:color w:val="6E6158"/>
          <w:spacing w:val="36"/>
        </w:rPr>
        <w:t> </w:t>
      </w:r>
      <w:r>
        <w:rPr>
          <w:color w:val="6E6158"/>
        </w:rPr>
        <w:t>multi-party</w:t>
      </w:r>
      <w:r>
        <w:rPr>
          <w:color w:val="6E6158"/>
          <w:spacing w:val="36"/>
        </w:rPr>
        <w:t> </w:t>
      </w:r>
      <w:r>
        <w:rPr>
          <w:color w:val="6E6158"/>
        </w:rPr>
        <w:t>settlement</w:t>
      </w:r>
      <w:r>
        <w:rPr>
          <w:color w:val="6E6158"/>
          <w:spacing w:val="36"/>
        </w:rPr>
        <w:t> </w:t>
      </w:r>
      <w:r>
        <w:rPr>
          <w:color w:val="6E6158"/>
        </w:rPr>
        <w:t>before</w:t>
      </w:r>
      <w:r>
        <w:rPr>
          <w:color w:val="6E6158"/>
          <w:spacing w:val="36"/>
        </w:rPr>
        <w:t> </w:t>
      </w:r>
      <w:r>
        <w:rPr>
          <w:color w:val="6E6158"/>
        </w:rPr>
        <w:t>the</w:t>
      </w:r>
      <w:r>
        <w:rPr>
          <w:color w:val="6E6158"/>
          <w:spacing w:val="36"/>
        </w:rPr>
        <w:t> </w:t>
      </w:r>
      <w:r>
        <w:rPr>
          <w:color w:val="6E6158"/>
        </w:rPr>
        <w:t>Public</w:t>
      </w:r>
      <w:r>
        <w:rPr>
          <w:color w:val="6E6158"/>
          <w:spacing w:val="36"/>
        </w:rPr>
        <w:t> </w:t>
      </w:r>
      <w:r>
        <w:rPr>
          <w:color w:val="6E6158"/>
        </w:rPr>
        <w:t>Utilities</w:t>
      </w:r>
      <w:r>
        <w:rPr>
          <w:color w:val="6E6158"/>
          <w:spacing w:val="36"/>
        </w:rPr>
        <w:t> </w:t>
      </w:r>
      <w:r>
        <w:rPr>
          <w:color w:val="6E6158"/>
        </w:rPr>
        <w:t>Commission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Nevada.</w:t>
      </w:r>
    </w:p>
    <w:p>
      <w:pPr>
        <w:pStyle w:val="BodyText"/>
        <w:spacing w:before="124"/>
      </w:pPr>
      <w:r>
        <w:rPr>
          <w:color w:val="6E6158"/>
        </w:rPr>
        <w:t>Provide</w:t>
      </w:r>
      <w:r>
        <w:rPr>
          <w:color w:val="6E6158"/>
          <w:spacing w:val="14"/>
        </w:rPr>
        <w:t> </w:t>
      </w:r>
      <w:r>
        <w:rPr>
          <w:color w:val="6E6158"/>
        </w:rPr>
        <w:t>Nevada</w:t>
      </w:r>
      <w:r>
        <w:rPr>
          <w:color w:val="6E6158"/>
          <w:spacing w:val="14"/>
        </w:rPr>
        <w:t> </w:t>
      </w:r>
      <w:r>
        <w:rPr>
          <w:color w:val="6E6158"/>
        </w:rPr>
        <w:t>transactional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regulatory</w:t>
      </w:r>
      <w:r>
        <w:rPr>
          <w:color w:val="6E6158"/>
          <w:spacing w:val="14"/>
        </w:rPr>
        <w:t> </w:t>
      </w:r>
      <w:r>
        <w:rPr>
          <w:color w:val="6E6158"/>
        </w:rPr>
        <w:t>counsel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private</w:t>
      </w:r>
      <w:r>
        <w:rPr>
          <w:color w:val="6E6158"/>
          <w:spacing w:val="14"/>
        </w:rPr>
        <w:t> </w:t>
      </w:r>
      <w:r>
        <w:rPr>
          <w:color w:val="6E6158"/>
        </w:rPr>
        <w:t>equity</w:t>
      </w:r>
      <w:r>
        <w:rPr>
          <w:color w:val="6E6158"/>
          <w:spacing w:val="14"/>
        </w:rPr>
        <w:t> </w:t>
      </w:r>
      <w:r>
        <w:rPr>
          <w:color w:val="6E6158"/>
        </w:rPr>
        <w:t>firm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connection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with</w:t>
      </w:r>
    </w:p>
    <w:p>
      <w:pPr>
        <w:pStyle w:val="BodyText"/>
        <w:spacing w:before="60"/>
      </w:pPr>
      <w:r>
        <w:rPr>
          <w:color w:val="6E6158"/>
        </w:rPr>
        <w:t>$55</w:t>
      </w:r>
      <w:r>
        <w:rPr>
          <w:color w:val="6E6158"/>
          <w:spacing w:val="13"/>
        </w:rPr>
        <w:t> </w:t>
      </w:r>
      <w:r>
        <w:rPr>
          <w:color w:val="6E6158"/>
        </w:rPr>
        <w:t>million</w:t>
      </w:r>
      <w:r>
        <w:rPr>
          <w:color w:val="6E6158"/>
          <w:spacing w:val="13"/>
        </w:rPr>
        <w:t> </w:t>
      </w:r>
      <w:r>
        <w:rPr>
          <w:color w:val="6E6158"/>
        </w:rPr>
        <w:t>loan</w:t>
      </w:r>
      <w:r>
        <w:rPr>
          <w:color w:val="6E6158"/>
          <w:spacing w:val="13"/>
        </w:rPr>
        <w:t> </w:t>
      </w:r>
      <w:r>
        <w:rPr>
          <w:color w:val="6E6158"/>
        </w:rPr>
        <w:t>transaction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</w:rPr>
        <w:t>Nevada</w:t>
      </w:r>
      <w:r>
        <w:rPr>
          <w:color w:val="6E6158"/>
          <w:spacing w:val="13"/>
        </w:rPr>
        <w:t> </w:t>
      </w:r>
      <w:r>
        <w:rPr>
          <w:color w:val="6E6158"/>
        </w:rPr>
        <w:t>nonrestricted</w:t>
      </w:r>
      <w:r>
        <w:rPr>
          <w:color w:val="6E6158"/>
          <w:spacing w:val="13"/>
        </w:rPr>
        <w:t> </w:t>
      </w:r>
      <w:r>
        <w:rPr>
          <w:color w:val="6E6158"/>
        </w:rPr>
        <w:t>gaming</w:t>
      </w:r>
      <w:r>
        <w:rPr>
          <w:color w:val="6E6158"/>
          <w:spacing w:val="14"/>
        </w:rPr>
        <w:t> </w:t>
      </w:r>
      <w:r>
        <w:rPr>
          <w:color w:val="6E6158"/>
        </w:rPr>
        <w:t>licensee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2022.</w:t>
      </w:r>
    </w:p>
    <w:p>
      <w:pPr>
        <w:pStyle w:val="BodyText"/>
        <w:spacing w:line="292" w:lineRule="auto" w:before="174"/>
        <w:ind w:right="295"/>
      </w:pPr>
      <w:r>
        <w:rPr>
          <w:color w:val="6E6158"/>
        </w:rPr>
        <w:t>Secure licensing in 2022 of San Pasqual Trust Company as Nevada retail trust company by</w:t>
      </w:r>
      <w:r>
        <w:rPr>
          <w:color w:val="6E6158"/>
          <w:spacing w:val="40"/>
        </w:rPr>
        <w:t> </w:t>
      </w:r>
      <w:r>
        <w:rPr>
          <w:color w:val="6E6158"/>
        </w:rPr>
        <w:t>Nevada Division of Financial Institutions.</w:t>
      </w:r>
    </w:p>
    <w:p>
      <w:pPr>
        <w:pStyle w:val="BodyText"/>
        <w:spacing w:line="302" w:lineRule="auto" w:before="123"/>
        <w:ind w:right="295"/>
      </w:pPr>
      <w:r>
        <w:rPr>
          <w:color w:val="6E6158"/>
        </w:rPr>
        <w:t>2022 engagement by Bally’s Corporation in licensing, registration and approvals before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Nevada Gaming Commission to acquire Tropicana Las Vegas.</w:t>
      </w:r>
    </w:p>
    <w:p>
      <w:pPr>
        <w:pStyle w:val="BodyText"/>
        <w:spacing w:line="292" w:lineRule="auto" w:before="113"/>
        <w:ind w:right="295"/>
      </w:pPr>
      <w:r>
        <w:rPr>
          <w:color w:val="6E6158"/>
        </w:rPr>
        <w:t>Representation of Bally’s Corporation in 2021 licensing, registration and approvals by </w:t>
      </w:r>
      <w:r>
        <w:rPr>
          <w:color w:val="6E6158"/>
        </w:rPr>
        <w:t>Nevada</w:t>
      </w:r>
      <w:r>
        <w:rPr>
          <w:color w:val="6E6158"/>
          <w:spacing w:val="40"/>
        </w:rPr>
        <w:t> </w:t>
      </w:r>
      <w:r>
        <w:rPr>
          <w:color w:val="6E6158"/>
        </w:rPr>
        <w:t>Gaming Commission to acquire MontBleu Resort Lake Tahoe.</w:t>
      </w:r>
    </w:p>
    <w:p>
      <w:pPr>
        <w:pStyle w:val="BodyText"/>
        <w:spacing w:line="302" w:lineRule="auto" w:before="123"/>
        <w:ind w:right="295"/>
      </w:pPr>
      <w:r>
        <w:rPr>
          <w:color w:val="6E6158"/>
        </w:rPr>
        <w:t>2021 Approvals for Everi Games, Inc. from Nevada Gaming Commission for multi-</w:t>
      </w:r>
      <w:r>
        <w:rPr>
          <w:color w:val="6E6158"/>
        </w:rPr>
        <w:t>jurisdictional</w:t>
      </w:r>
      <w:r>
        <w:rPr>
          <w:color w:val="6E6158"/>
          <w:spacing w:val="40"/>
        </w:rPr>
        <w:t> </w:t>
      </w:r>
      <w:r>
        <w:rPr>
          <w:color w:val="6E6158"/>
        </w:rPr>
        <w:t>wide area progressive system.</w:t>
      </w:r>
    </w:p>
    <w:p>
      <w:pPr>
        <w:pStyle w:val="BodyText"/>
        <w:spacing w:line="292" w:lineRule="auto" w:before="113"/>
        <w:ind w:right="325"/>
      </w:pPr>
      <w:r>
        <w:rPr>
          <w:color w:val="6E6158"/>
        </w:rPr>
        <w:t>2020 defense of approval and award of contract by Nevada Department of Transportation for</w:t>
      </w:r>
      <w:r>
        <w:rPr>
          <w:color w:val="6E6158"/>
          <w:spacing w:val="40"/>
        </w:rPr>
        <w:t> </w:t>
      </w:r>
      <w:r>
        <w:rPr>
          <w:color w:val="6E6158"/>
        </w:rPr>
        <w:t>Ennis-Flint, Inc.</w:t>
      </w:r>
    </w:p>
    <w:p>
      <w:pPr>
        <w:pStyle w:val="BodyText"/>
        <w:spacing w:line="292" w:lineRule="auto" w:before="131"/>
        <w:ind w:right="295"/>
      </w:pPr>
      <w:r>
        <w:rPr>
          <w:color w:val="6E6158"/>
        </w:rPr>
        <w:t>2020 engagements by two insurance companies in obtaining health maintenance </w:t>
      </w:r>
      <w:r>
        <w:rPr>
          <w:color w:val="6E6158"/>
        </w:rPr>
        <w:t>organization</w:t>
      </w:r>
      <w:r>
        <w:rPr>
          <w:color w:val="6E6158"/>
          <w:spacing w:val="40"/>
        </w:rPr>
        <w:t> </w:t>
      </w:r>
      <w:r>
        <w:rPr>
          <w:color w:val="6E6158"/>
        </w:rPr>
        <w:t>certificates of authority from the Nevada Division of Insurance.</w:t>
      </w:r>
    </w:p>
    <w:p>
      <w:pPr>
        <w:pStyle w:val="BodyText"/>
        <w:spacing w:line="292" w:lineRule="auto" w:before="123"/>
        <w:ind w:right="408"/>
      </w:pPr>
      <w:r>
        <w:rPr>
          <w:color w:val="6E6158"/>
        </w:rPr>
        <w:t>Legislative engagement for Association of Gaming Equipment Manufacturers on 2019 </w:t>
      </w:r>
      <w:r>
        <w:rPr>
          <w:color w:val="6E6158"/>
        </w:rPr>
        <w:t>passage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Assembly</w:t>
      </w:r>
      <w:r>
        <w:rPr>
          <w:color w:val="6E6158"/>
          <w:spacing w:val="33"/>
        </w:rPr>
        <w:t> </w:t>
      </w:r>
      <w:r>
        <w:rPr>
          <w:color w:val="6E6158"/>
        </w:rPr>
        <w:t>Bill</w:t>
      </w:r>
      <w:r>
        <w:rPr>
          <w:color w:val="6E6158"/>
          <w:spacing w:val="33"/>
        </w:rPr>
        <w:t> </w:t>
      </w:r>
      <w:r>
        <w:rPr>
          <w:color w:val="6E6158"/>
        </w:rPr>
        <w:t>221</w:t>
      </w:r>
      <w:r>
        <w:rPr>
          <w:color w:val="6E6158"/>
          <w:spacing w:val="33"/>
        </w:rPr>
        <w:t> </w:t>
      </w:r>
      <w:r>
        <w:rPr>
          <w:color w:val="6E6158"/>
        </w:rPr>
        <w:t>to</w:t>
      </w:r>
      <w:r>
        <w:rPr>
          <w:color w:val="6E6158"/>
          <w:spacing w:val="33"/>
        </w:rPr>
        <w:t> </w:t>
      </w:r>
      <w:r>
        <w:rPr>
          <w:color w:val="6E6158"/>
        </w:rPr>
        <w:t>expand</w:t>
      </w:r>
      <w:r>
        <w:rPr>
          <w:color w:val="6E6158"/>
          <w:spacing w:val="33"/>
        </w:rPr>
        <w:t> </w:t>
      </w:r>
      <w:r>
        <w:rPr>
          <w:color w:val="6E6158"/>
        </w:rPr>
        <w:t>gaming</w:t>
      </w:r>
      <w:r>
        <w:rPr>
          <w:color w:val="6E6158"/>
          <w:spacing w:val="33"/>
        </w:rPr>
        <w:t> </w:t>
      </w:r>
      <w:r>
        <w:rPr>
          <w:color w:val="6E6158"/>
        </w:rPr>
        <w:t>technology</w:t>
      </w:r>
      <w:r>
        <w:rPr>
          <w:color w:val="6E6158"/>
          <w:spacing w:val="33"/>
        </w:rPr>
        <w:t> </w:t>
      </w:r>
      <w:r>
        <w:rPr>
          <w:color w:val="6E6158"/>
        </w:rPr>
        <w:t>sector</w:t>
      </w:r>
      <w:r>
        <w:rPr>
          <w:color w:val="6E6158"/>
          <w:spacing w:val="33"/>
        </w:rPr>
        <w:t> </w:t>
      </w:r>
      <w:r>
        <w:rPr>
          <w:color w:val="6E6158"/>
        </w:rPr>
        <w:t>work</w:t>
      </w:r>
      <w:r>
        <w:rPr>
          <w:color w:val="6E6158"/>
          <w:spacing w:val="33"/>
        </w:rPr>
        <w:t> </w:t>
      </w:r>
      <w:r>
        <w:rPr>
          <w:color w:val="6E6158"/>
        </w:rPr>
        <w:t>force</w:t>
      </w:r>
      <w:r>
        <w:rPr>
          <w:color w:val="6E6158"/>
          <w:spacing w:val="33"/>
        </w:rPr>
        <w:t> </w:t>
      </w:r>
      <w:r>
        <w:rPr>
          <w:color w:val="6E6158"/>
        </w:rPr>
        <w:t>development.</w:t>
      </w:r>
    </w:p>
    <w:p>
      <w:pPr>
        <w:pStyle w:val="BodyText"/>
        <w:spacing w:line="292" w:lineRule="auto" w:before="132"/>
        <w:ind w:right="295"/>
      </w:pPr>
      <w:r>
        <w:rPr>
          <w:color w:val="6E6158"/>
        </w:rPr>
        <w:t>Representation in 2019 of Wynn Las Vegas, LLC for Nevada Gaming Commission licensing of Marilyn Spiegel as the President for Las Vegas properties.</w:t>
      </w:r>
    </w:p>
    <w:p>
      <w:pPr>
        <w:pStyle w:val="BodyText"/>
        <w:spacing w:line="292" w:lineRule="auto" w:before="123"/>
        <w:ind w:right="295"/>
      </w:pPr>
      <w:r>
        <w:rPr>
          <w:color w:val="6E6158"/>
        </w:rPr>
        <w:t>2019 legislative representation of McLane Company, Inc. on Senate Bill 81 excise </w:t>
      </w:r>
      <w:r>
        <w:rPr>
          <w:color w:val="6E6158"/>
        </w:rPr>
        <w:t>tax </w:t>
      </w:r>
      <w:r>
        <w:rPr>
          <w:color w:val="6E6158"/>
          <w:spacing w:val="-2"/>
        </w:rPr>
        <w:t>amendments.</w:t>
      </w:r>
    </w:p>
    <w:p>
      <w:pPr>
        <w:pStyle w:val="BodyText"/>
        <w:spacing w:line="292" w:lineRule="auto" w:before="131"/>
        <w:ind w:right="134"/>
      </w:pPr>
      <w:r>
        <w:rPr>
          <w:color w:val="6E6158"/>
        </w:rPr>
        <w:t>Engagement</w:t>
      </w:r>
      <w:r>
        <w:rPr>
          <w:color w:val="6E6158"/>
          <w:spacing w:val="34"/>
        </w:rPr>
        <w:t> </w:t>
      </w: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2019</w:t>
      </w:r>
      <w:r>
        <w:rPr>
          <w:color w:val="6E6158"/>
          <w:spacing w:val="34"/>
        </w:rPr>
        <w:t> </w:t>
      </w:r>
      <w:r>
        <w:rPr>
          <w:color w:val="6E6158"/>
        </w:rPr>
        <w:t>by</w:t>
      </w:r>
      <w:r>
        <w:rPr>
          <w:color w:val="6E6158"/>
          <w:spacing w:val="34"/>
        </w:rPr>
        <w:t> </w:t>
      </w:r>
      <w:r>
        <w:rPr>
          <w:color w:val="6E6158"/>
        </w:rPr>
        <w:t>international</w:t>
      </w:r>
      <w:r>
        <w:rPr>
          <w:color w:val="6E6158"/>
          <w:spacing w:val="34"/>
        </w:rPr>
        <w:t> </w:t>
      </w:r>
      <w:r>
        <w:rPr>
          <w:color w:val="6E6158"/>
        </w:rPr>
        <w:t>payment</w:t>
      </w:r>
      <w:r>
        <w:rPr>
          <w:color w:val="6E6158"/>
          <w:spacing w:val="34"/>
        </w:rPr>
        <w:t> </w:t>
      </w:r>
      <w:r>
        <w:rPr>
          <w:color w:val="6E6158"/>
        </w:rPr>
        <w:t>processor</w:t>
      </w:r>
      <w:r>
        <w:rPr>
          <w:color w:val="6E6158"/>
          <w:spacing w:val="34"/>
        </w:rPr>
        <w:t> </w:t>
      </w:r>
      <w:r>
        <w:rPr>
          <w:color w:val="6E6158"/>
        </w:rPr>
        <w:t>firm</w:t>
      </w:r>
      <w:r>
        <w:rPr>
          <w:color w:val="6E6158"/>
          <w:spacing w:val="34"/>
        </w:rPr>
        <w:t> </w:t>
      </w: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connection</w:t>
      </w:r>
      <w:r>
        <w:rPr>
          <w:color w:val="6E6158"/>
          <w:spacing w:val="34"/>
        </w:rPr>
        <w:t> </w:t>
      </w:r>
      <w:r>
        <w:rPr>
          <w:color w:val="6E6158"/>
        </w:rPr>
        <w:t>with</w:t>
      </w:r>
      <w:r>
        <w:rPr>
          <w:color w:val="6E6158"/>
          <w:spacing w:val="34"/>
        </w:rPr>
        <w:t> </w:t>
      </w:r>
      <w:r>
        <w:rPr>
          <w:color w:val="6E6158"/>
        </w:rPr>
        <w:t>multi-jurisdictional gaming regulatory compliance and licensing for associated equipment </w:t>
      </w:r>
      <w:r>
        <w:rPr>
          <w:color w:val="6E6158"/>
        </w:rPr>
        <w:t>technology</w:t>
      </w:r>
      <w:r>
        <w:rPr>
          <w:color w:val="6E6158"/>
          <w:spacing w:val="40"/>
        </w:rPr>
        <w:t> </w:t>
      </w:r>
      <w:r>
        <w:rPr>
          <w:color w:val="6E6158"/>
        </w:rPr>
        <w:t>development for use in the casino point of sale operations.</w:t>
      </w:r>
    </w:p>
    <w:p>
      <w:pPr>
        <w:pStyle w:val="BodyText"/>
        <w:spacing w:line="302" w:lineRule="auto" w:before="124"/>
        <w:ind w:right="295"/>
      </w:pPr>
      <w:r>
        <w:rPr>
          <w:color w:val="6E6158"/>
        </w:rPr>
        <w:t>Nevada special corporate and gaming counsel to underwriters in the initial public offering </w:t>
      </w:r>
      <w:r>
        <w:rPr>
          <w:color w:val="6E6158"/>
        </w:rPr>
        <w:t>by</w:t>
      </w:r>
      <w:r>
        <w:rPr>
          <w:color w:val="6E6158"/>
          <w:spacing w:val="40"/>
        </w:rPr>
        <w:t> </w:t>
      </w:r>
      <w:r>
        <w:rPr>
          <w:color w:val="6E6158"/>
        </w:rPr>
        <w:t>social gaming technology company in 2019.</w:t>
      </w:r>
    </w:p>
    <w:p>
      <w:pPr>
        <w:pStyle w:val="BodyText"/>
        <w:spacing w:line="292" w:lineRule="auto" w:before="113"/>
        <w:ind w:right="408"/>
      </w:pPr>
      <w:r>
        <w:rPr>
          <w:color w:val="6E6158"/>
        </w:rPr>
        <w:t>2018 engagement as counsel for Tronox, LLC in sale of Electrolytic Division to EMD </w:t>
      </w:r>
      <w:r>
        <w:rPr>
          <w:color w:val="6E6158"/>
        </w:rPr>
        <w:t>Acquisition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LLC.</w:t>
      </w:r>
    </w:p>
    <w:p>
      <w:pPr>
        <w:pStyle w:val="BodyText"/>
        <w:spacing w:line="292" w:lineRule="auto" w:before="132"/>
        <w:ind w:right="295"/>
      </w:pPr>
      <w:r>
        <w:rPr>
          <w:color w:val="6E6158"/>
        </w:rPr>
        <w:t>2018 representation of MHM Solutions, Inc. in successful cancellation of contract award for</w:t>
      </w:r>
      <w:r>
        <w:rPr>
          <w:color w:val="6E6158"/>
          <w:spacing w:val="40"/>
        </w:rPr>
        <w:t> </w:t>
      </w:r>
      <w:r>
        <w:rPr>
          <w:color w:val="6E6158"/>
        </w:rPr>
        <w:t>temporary medical services by Nevada State Purchasing Division based on violation of </w:t>
      </w:r>
      <w:r>
        <w:rPr>
          <w:color w:val="6E6158"/>
        </w:rPr>
        <w:t>state</w:t>
      </w:r>
      <w:r>
        <w:rPr>
          <w:color w:val="6E6158"/>
          <w:spacing w:val="40"/>
        </w:rPr>
        <w:t> </w:t>
      </w:r>
      <w:r>
        <w:rPr>
          <w:color w:val="6E6158"/>
        </w:rPr>
        <w:t>procurement laws.</w:t>
      </w:r>
    </w:p>
    <w:p>
      <w:pPr>
        <w:pStyle w:val="BodyText"/>
        <w:spacing w:line="302" w:lineRule="auto" w:before="123"/>
        <w:ind w:right="295"/>
      </w:pPr>
      <w:r>
        <w:rPr>
          <w:color w:val="6E6158"/>
        </w:rPr>
        <w:t>Nevada special gaming counsel on 2018 working capital loan by international investment </w:t>
      </w:r>
      <w:r>
        <w:rPr>
          <w:color w:val="6E6158"/>
        </w:rPr>
        <w:t>bank</w:t>
      </w:r>
      <w:r>
        <w:rPr>
          <w:color w:val="6E6158"/>
          <w:spacing w:val="80"/>
        </w:rPr>
        <w:t> </w:t>
      </w:r>
      <w:r>
        <w:rPr>
          <w:color w:val="6E6158"/>
        </w:rPr>
        <w:t>to</w:t>
      </w:r>
      <w:r>
        <w:rPr>
          <w:color w:val="6E6158"/>
          <w:spacing w:val="38"/>
        </w:rPr>
        <w:t> </w:t>
      </w:r>
      <w:r>
        <w:rPr>
          <w:color w:val="6E6158"/>
        </w:rPr>
        <w:t>holding</w:t>
      </w:r>
      <w:r>
        <w:rPr>
          <w:color w:val="6E6158"/>
          <w:spacing w:val="38"/>
        </w:rPr>
        <w:t> </w:t>
      </w:r>
      <w:r>
        <w:rPr>
          <w:color w:val="6E6158"/>
        </w:rPr>
        <w:t>company</w:t>
      </w:r>
      <w:r>
        <w:rPr>
          <w:color w:val="6E6158"/>
          <w:spacing w:val="38"/>
        </w:rPr>
        <w:t> </w:t>
      </w:r>
      <w:r>
        <w:rPr>
          <w:color w:val="6E6158"/>
        </w:rPr>
        <w:t>of</w:t>
      </w:r>
      <w:r>
        <w:rPr>
          <w:color w:val="6E6158"/>
          <w:spacing w:val="38"/>
        </w:rPr>
        <w:t> </w:t>
      </w:r>
      <w:r>
        <w:rPr>
          <w:color w:val="6E6158"/>
        </w:rPr>
        <w:t>publicly</w:t>
      </w:r>
      <w:r>
        <w:rPr>
          <w:color w:val="6E6158"/>
          <w:spacing w:val="38"/>
        </w:rPr>
        <w:t> </w:t>
      </w:r>
      <w:r>
        <w:rPr>
          <w:color w:val="6E6158"/>
        </w:rPr>
        <w:t>traded</w:t>
      </w:r>
      <w:r>
        <w:rPr>
          <w:color w:val="6E6158"/>
          <w:spacing w:val="38"/>
        </w:rPr>
        <w:t> </w:t>
      </w:r>
      <w:r>
        <w:rPr>
          <w:color w:val="6E6158"/>
        </w:rPr>
        <w:t>multi-jurisdictional</w:t>
      </w:r>
      <w:r>
        <w:rPr>
          <w:color w:val="6E6158"/>
          <w:spacing w:val="38"/>
        </w:rPr>
        <w:t> </w:t>
      </w:r>
      <w:r>
        <w:rPr>
          <w:color w:val="6E6158"/>
        </w:rPr>
        <w:t>gaming</w:t>
      </w:r>
      <w:r>
        <w:rPr>
          <w:color w:val="6E6158"/>
          <w:spacing w:val="38"/>
        </w:rPr>
        <w:t> </w:t>
      </w:r>
      <w:r>
        <w:rPr>
          <w:color w:val="6E6158"/>
        </w:rPr>
        <w:t>resort</w:t>
      </w:r>
      <w:r>
        <w:rPr>
          <w:color w:val="6E6158"/>
          <w:spacing w:val="38"/>
        </w:rPr>
        <w:t> </w:t>
      </w:r>
      <w:r>
        <w:rPr>
          <w:color w:val="6E6158"/>
        </w:rPr>
        <w:t>hotel</w:t>
      </w:r>
      <w:r>
        <w:rPr>
          <w:color w:val="6E6158"/>
          <w:spacing w:val="38"/>
        </w:rPr>
        <w:t> </w:t>
      </w:r>
      <w:r>
        <w:rPr>
          <w:color w:val="6E6158"/>
        </w:rPr>
        <w:t>company.</w:t>
      </w:r>
    </w:p>
    <w:p>
      <w:pPr>
        <w:pStyle w:val="BodyText"/>
        <w:spacing w:before="113"/>
      </w:pPr>
      <w:r>
        <w:rPr>
          <w:color w:val="6E6158"/>
        </w:rPr>
        <w:t>2017</w:t>
      </w:r>
      <w:r>
        <w:rPr>
          <w:color w:val="6E6158"/>
          <w:spacing w:val="13"/>
        </w:rPr>
        <w:t> </w:t>
      </w:r>
      <w:r>
        <w:rPr>
          <w:color w:val="6E6158"/>
        </w:rPr>
        <w:t>officer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director</w:t>
      </w:r>
      <w:r>
        <w:rPr>
          <w:color w:val="6E6158"/>
          <w:spacing w:val="14"/>
        </w:rPr>
        <w:t> </w:t>
      </w:r>
      <w:r>
        <w:rPr>
          <w:color w:val="6E6158"/>
        </w:rPr>
        <w:t>licensing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public</w:t>
      </w:r>
      <w:r>
        <w:rPr>
          <w:color w:val="6E6158"/>
          <w:spacing w:val="14"/>
        </w:rPr>
        <w:t> </w:t>
      </w:r>
      <w:r>
        <w:rPr>
          <w:color w:val="6E6158"/>
        </w:rPr>
        <w:t>share</w:t>
      </w:r>
      <w:r>
        <w:rPr>
          <w:color w:val="6E6158"/>
          <w:spacing w:val="14"/>
        </w:rPr>
        <w:t> </w:t>
      </w:r>
      <w:r>
        <w:rPr>
          <w:color w:val="6E6158"/>
        </w:rPr>
        <w:t>redemption</w:t>
      </w:r>
      <w:r>
        <w:rPr>
          <w:color w:val="6E6158"/>
          <w:spacing w:val="14"/>
        </w:rPr>
        <w:t> </w:t>
      </w:r>
      <w:r>
        <w:rPr>
          <w:color w:val="6E6158"/>
        </w:rPr>
        <w:t>transaction</w:t>
      </w:r>
      <w:r>
        <w:rPr>
          <w:color w:val="6E6158"/>
          <w:spacing w:val="14"/>
        </w:rPr>
        <w:t> </w:t>
      </w:r>
      <w:r>
        <w:rPr>
          <w:color w:val="6E6158"/>
        </w:rPr>
        <w:t>approval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by</w:t>
      </w:r>
    </w:p>
    <w:p>
      <w:pPr>
        <w:pStyle w:val="BodyText"/>
        <w:spacing w:line="292" w:lineRule="auto" w:before="52"/>
        <w:ind w:right="325"/>
      </w:pPr>
      <w:r>
        <w:rPr>
          <w:color w:val="6E6158"/>
        </w:rPr>
        <w:t>Nevada Gaming Commission for Tracinda Corporation as controlling shareholder the Estate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Kirk</w:t>
      </w:r>
      <w:r>
        <w:rPr>
          <w:color w:val="6E6158"/>
          <w:spacing w:val="31"/>
        </w:rPr>
        <w:t> </w:t>
      </w:r>
      <w:r>
        <w:rPr>
          <w:color w:val="6E6158"/>
        </w:rPr>
        <w:t>Kirkorian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largest</w:t>
      </w:r>
      <w:r>
        <w:rPr>
          <w:color w:val="6E6158"/>
          <w:spacing w:val="31"/>
        </w:rPr>
        <w:t> </w:t>
      </w:r>
      <w:r>
        <w:rPr>
          <w:color w:val="6E6158"/>
        </w:rPr>
        <w:t>private</w:t>
      </w:r>
      <w:r>
        <w:rPr>
          <w:color w:val="6E6158"/>
          <w:spacing w:val="31"/>
        </w:rPr>
        <w:t> </w:t>
      </w:r>
      <w:r>
        <w:rPr>
          <w:color w:val="6E6158"/>
        </w:rPr>
        <w:t>holder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equity</w:t>
      </w:r>
      <w:r>
        <w:rPr>
          <w:color w:val="6E6158"/>
          <w:spacing w:val="31"/>
        </w:rPr>
        <w:t> </w:t>
      </w:r>
      <w:r>
        <w:rPr>
          <w:color w:val="6E6158"/>
        </w:rPr>
        <w:t>stock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MGM</w:t>
      </w:r>
      <w:r>
        <w:rPr>
          <w:color w:val="6E6158"/>
          <w:spacing w:val="31"/>
        </w:rPr>
        <w:t> </w:t>
      </w:r>
      <w:r>
        <w:rPr>
          <w:color w:val="6E6158"/>
        </w:rPr>
        <w:t>Resorts</w:t>
      </w:r>
      <w:r>
        <w:rPr>
          <w:color w:val="6E6158"/>
          <w:spacing w:val="31"/>
        </w:rPr>
        <w:t> </w:t>
      </w:r>
      <w:r>
        <w:rPr>
          <w:color w:val="6E6158"/>
        </w:rPr>
        <w:t>International.</w:t>
      </w:r>
    </w:p>
    <w:p>
      <w:pPr>
        <w:pStyle w:val="BodyText"/>
        <w:spacing w:line="292" w:lineRule="auto" w:before="132"/>
        <w:ind w:right="295"/>
      </w:pPr>
      <w:r>
        <w:rPr>
          <w:color w:val="6E6158"/>
        </w:rPr>
        <w:t>2017 approval for Calpine Energy Solutions, LLC of merger with ECP ControlCo, LLP and related</w:t>
      </w:r>
      <w:r>
        <w:rPr>
          <w:color w:val="6E6158"/>
          <w:spacing w:val="40"/>
        </w:rPr>
        <w:t> </w:t>
      </w:r>
      <w:r>
        <w:rPr>
          <w:color w:val="6E6158"/>
        </w:rPr>
        <w:t>license transfer.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7" w:lineRule="auto" w:before="83"/>
        <w:ind w:right="223"/>
      </w:pPr>
      <w:r>
        <w:rPr>
          <w:color w:val="6E6158"/>
        </w:rPr>
        <w:t>Separate engagements during 2017 for a multi-property resort hotel firm,</w:t>
      </w:r>
      <w:r>
        <w:rPr>
          <w:color w:val="6E6158"/>
          <w:spacing w:val="80"/>
        </w:rPr>
        <w:t> </w:t>
      </w:r>
      <w:r>
        <w:rPr>
          <w:color w:val="6E6158"/>
        </w:rPr>
        <w:t>a gaming </w:t>
      </w:r>
      <w:r>
        <w:rPr>
          <w:color w:val="6E6158"/>
        </w:rPr>
        <w:t>technology company, and a skill-based mobile games platform operator on multi-jurisdictional gaming</w:t>
      </w:r>
      <w:r>
        <w:rPr>
          <w:color w:val="6E6158"/>
          <w:spacing w:val="40"/>
        </w:rPr>
        <w:t> </w:t>
      </w:r>
      <w:r>
        <w:rPr>
          <w:color w:val="6E6158"/>
        </w:rPr>
        <w:t>regulatory</w:t>
      </w:r>
      <w:r>
        <w:rPr>
          <w:color w:val="6E6158"/>
          <w:spacing w:val="37"/>
        </w:rPr>
        <w:t> </w:t>
      </w:r>
      <w:r>
        <w:rPr>
          <w:color w:val="6E6158"/>
        </w:rPr>
        <w:t>matters</w:t>
      </w:r>
      <w:r>
        <w:rPr>
          <w:color w:val="6E6158"/>
          <w:spacing w:val="37"/>
        </w:rPr>
        <w:t> </w:t>
      </w:r>
      <w:r>
        <w:rPr>
          <w:color w:val="6E6158"/>
        </w:rPr>
        <w:t>relating</w:t>
      </w:r>
      <w:r>
        <w:rPr>
          <w:color w:val="6E6158"/>
          <w:spacing w:val="37"/>
        </w:rPr>
        <w:t> </w:t>
      </w:r>
      <w:r>
        <w:rPr>
          <w:color w:val="6E6158"/>
        </w:rPr>
        <w:t>to</w:t>
      </w:r>
      <w:r>
        <w:rPr>
          <w:color w:val="6E6158"/>
          <w:spacing w:val="37"/>
        </w:rPr>
        <w:t> </w:t>
      </w:r>
      <w:r>
        <w:rPr>
          <w:color w:val="6E6158"/>
        </w:rPr>
        <w:t>various</w:t>
      </w:r>
      <w:r>
        <w:rPr>
          <w:color w:val="6E6158"/>
          <w:spacing w:val="37"/>
        </w:rPr>
        <w:t> </w:t>
      </w:r>
      <w:r>
        <w:rPr>
          <w:color w:val="6E6158"/>
        </w:rPr>
        <w:t>social</w:t>
      </w:r>
      <w:r>
        <w:rPr>
          <w:color w:val="6E6158"/>
          <w:spacing w:val="37"/>
        </w:rPr>
        <w:t> </w:t>
      </w:r>
      <w:r>
        <w:rPr>
          <w:color w:val="6E6158"/>
        </w:rPr>
        <w:t>gaming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sports</w:t>
      </w:r>
      <w:r>
        <w:rPr>
          <w:color w:val="6E6158"/>
          <w:spacing w:val="37"/>
        </w:rPr>
        <w:t> </w:t>
      </w:r>
      <w:r>
        <w:rPr>
          <w:color w:val="6E6158"/>
        </w:rPr>
        <w:t>wagering</w:t>
      </w:r>
      <w:r>
        <w:rPr>
          <w:color w:val="6E6158"/>
          <w:spacing w:val="37"/>
        </w:rPr>
        <w:t> </w:t>
      </w:r>
      <w:r>
        <w:rPr>
          <w:color w:val="6E6158"/>
        </w:rPr>
        <w:t>platforms.</w:t>
      </w:r>
    </w:p>
    <w:p>
      <w:pPr>
        <w:pStyle w:val="BodyText"/>
        <w:spacing w:before="118"/>
      </w:pPr>
      <w:r>
        <w:rPr>
          <w:color w:val="6E6158"/>
        </w:rPr>
        <w:t>2016</w:t>
      </w:r>
      <w:r>
        <w:rPr>
          <w:color w:val="6E6158"/>
          <w:spacing w:val="13"/>
        </w:rPr>
        <w:t> </w:t>
      </w:r>
      <w:r>
        <w:rPr>
          <w:color w:val="6E6158"/>
        </w:rPr>
        <w:t>preliminary</w:t>
      </w:r>
      <w:r>
        <w:rPr>
          <w:color w:val="6E6158"/>
          <w:spacing w:val="13"/>
        </w:rPr>
        <w:t> </w:t>
      </w:r>
      <w:r>
        <w:rPr>
          <w:color w:val="6E6158"/>
        </w:rPr>
        <w:t>finding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suitability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</w:rPr>
        <w:t>Station</w:t>
      </w:r>
      <w:r>
        <w:rPr>
          <w:color w:val="6E6158"/>
          <w:spacing w:val="13"/>
        </w:rPr>
        <w:t> </w:t>
      </w:r>
      <w:r>
        <w:rPr>
          <w:color w:val="6E6158"/>
        </w:rPr>
        <w:t>Casino’s</w:t>
      </w:r>
      <w:r>
        <w:rPr>
          <w:color w:val="6E6158"/>
          <w:spacing w:val="13"/>
        </w:rPr>
        <w:t> </w:t>
      </w:r>
      <w:r>
        <w:rPr>
          <w:color w:val="6E6158"/>
        </w:rPr>
        <w:t>Project</w:t>
      </w:r>
      <w:r>
        <w:rPr>
          <w:color w:val="6E6158"/>
          <w:spacing w:val="13"/>
        </w:rPr>
        <w:t> </w:t>
      </w:r>
      <w:r>
        <w:rPr>
          <w:color w:val="6E6158"/>
        </w:rPr>
        <w:t>Redfield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Reno.</w:t>
      </w:r>
    </w:p>
    <w:p>
      <w:pPr>
        <w:pStyle w:val="BodyText"/>
        <w:spacing w:line="292" w:lineRule="auto" w:before="174"/>
        <w:ind w:right="295"/>
      </w:pPr>
      <w:r>
        <w:rPr>
          <w:color w:val="6E6158"/>
        </w:rPr>
        <w:t>2016 negotiation for City of Boulder City of Post-2017 Hoover Power electric service contract and</w:t>
      </w:r>
      <w:r>
        <w:rPr>
          <w:color w:val="6E6158"/>
          <w:spacing w:val="40"/>
        </w:rPr>
        <w:t> </w:t>
      </w:r>
      <w:r>
        <w:rPr>
          <w:color w:val="6E6158"/>
        </w:rPr>
        <w:t>related agreements with United States Bureau of Reclamation and Western Power</w:t>
      </w:r>
    </w:p>
    <w:p>
      <w:pPr>
        <w:pStyle w:val="BodyText"/>
        <w:spacing w:before="10"/>
      </w:pPr>
      <w:r>
        <w:rPr>
          <w:color w:val="6E6158"/>
          <w:spacing w:val="-2"/>
        </w:rPr>
        <w:t>Administration.</w:t>
      </w:r>
    </w:p>
    <w:p>
      <w:pPr>
        <w:pStyle w:val="BodyText"/>
        <w:spacing w:line="292" w:lineRule="auto" w:before="174"/>
        <w:ind w:right="32"/>
      </w:pPr>
      <w:r>
        <w:rPr>
          <w:color w:val="6E6158"/>
        </w:rPr>
        <w:t>2015</w:t>
      </w:r>
      <w:r>
        <w:rPr>
          <w:color w:val="6E6158"/>
          <w:spacing w:val="29"/>
        </w:rPr>
        <w:t> </w:t>
      </w:r>
      <w:r>
        <w:rPr>
          <w:color w:val="6E6158"/>
        </w:rPr>
        <w:t>passage</w:t>
      </w:r>
      <w:r>
        <w:rPr>
          <w:color w:val="6E6158"/>
          <w:spacing w:val="29"/>
        </w:rPr>
        <w:t> </w:t>
      </w:r>
      <w:r>
        <w:rPr>
          <w:color w:val="6E6158"/>
        </w:rPr>
        <w:t>for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Association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Gaming</w:t>
      </w:r>
      <w:r>
        <w:rPr>
          <w:color w:val="6E6158"/>
          <w:spacing w:val="29"/>
        </w:rPr>
        <w:t> </w:t>
      </w:r>
      <w:r>
        <w:rPr>
          <w:color w:val="6E6158"/>
        </w:rPr>
        <w:t>Equipment</w:t>
      </w:r>
      <w:r>
        <w:rPr>
          <w:color w:val="6E6158"/>
          <w:spacing w:val="29"/>
        </w:rPr>
        <w:t> </w:t>
      </w:r>
      <w:r>
        <w:rPr>
          <w:color w:val="6E6158"/>
        </w:rPr>
        <w:t>Manufacturers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Senate</w:t>
      </w:r>
      <w:r>
        <w:rPr>
          <w:color w:val="6E6158"/>
          <w:spacing w:val="29"/>
        </w:rPr>
        <w:t> </w:t>
      </w:r>
      <w:r>
        <w:rPr>
          <w:color w:val="6E6158"/>
        </w:rPr>
        <w:t>Bill</w:t>
      </w:r>
      <w:r>
        <w:rPr>
          <w:color w:val="6E6158"/>
          <w:spacing w:val="29"/>
        </w:rPr>
        <w:t> </w:t>
      </w:r>
      <w:r>
        <w:rPr>
          <w:color w:val="6E6158"/>
        </w:rPr>
        <w:t>9</w:t>
      </w:r>
      <w:r>
        <w:rPr>
          <w:color w:val="6E6158"/>
          <w:spacing w:val="29"/>
        </w:rPr>
        <w:t> </w:t>
      </w:r>
      <w:r>
        <w:rPr>
          <w:color w:val="6E6158"/>
        </w:rPr>
        <w:t>and related</w:t>
      </w:r>
      <w:r>
        <w:rPr>
          <w:color w:val="6E6158"/>
          <w:spacing w:val="20"/>
        </w:rPr>
        <w:t> </w:t>
      </w:r>
      <w:r>
        <w:rPr>
          <w:color w:val="6E6158"/>
        </w:rPr>
        <w:t>adoption</w:t>
      </w:r>
      <w:r>
        <w:rPr>
          <w:color w:val="6E6158"/>
          <w:spacing w:val="20"/>
        </w:rPr>
        <w:t> </w:t>
      </w:r>
      <w:r>
        <w:rPr>
          <w:color w:val="6E6158"/>
        </w:rPr>
        <w:t>of</w:t>
      </w:r>
      <w:r>
        <w:rPr>
          <w:color w:val="6E6158"/>
          <w:spacing w:val="20"/>
        </w:rPr>
        <w:t> </w:t>
      </w:r>
      <w:r>
        <w:rPr>
          <w:color w:val="6E6158"/>
        </w:rPr>
        <w:t>Nevada</w:t>
      </w:r>
      <w:r>
        <w:rPr>
          <w:color w:val="6E6158"/>
          <w:spacing w:val="20"/>
        </w:rPr>
        <w:t> </w:t>
      </w:r>
      <w:r>
        <w:rPr>
          <w:color w:val="6E6158"/>
        </w:rPr>
        <w:t>Gaming</w:t>
      </w:r>
      <w:r>
        <w:rPr>
          <w:color w:val="6E6158"/>
          <w:spacing w:val="20"/>
        </w:rPr>
        <w:t> </w:t>
      </w:r>
      <w:r>
        <w:rPr>
          <w:color w:val="6E6158"/>
        </w:rPr>
        <w:t>Commission</w:t>
      </w:r>
      <w:r>
        <w:rPr>
          <w:color w:val="6E6158"/>
          <w:spacing w:val="20"/>
        </w:rPr>
        <w:t> </w:t>
      </w:r>
      <w:r>
        <w:rPr>
          <w:color w:val="6E6158"/>
        </w:rPr>
        <w:t>regulations</w:t>
      </w:r>
      <w:r>
        <w:rPr>
          <w:color w:val="6E6158"/>
          <w:spacing w:val="20"/>
        </w:rPr>
        <w:t> </w:t>
      </w:r>
      <w:r>
        <w:rPr>
          <w:color w:val="6E6158"/>
        </w:rPr>
        <w:t>authorizing</w:t>
      </w:r>
      <w:r>
        <w:rPr>
          <w:color w:val="6E6158"/>
          <w:spacing w:val="20"/>
        </w:rPr>
        <w:t> </w:t>
      </w:r>
      <w:r>
        <w:rPr>
          <w:color w:val="6E6158"/>
        </w:rPr>
        <w:t>development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play in Nevada of electronic skill-based games.</w:t>
      </w:r>
    </w:p>
    <w:p>
      <w:pPr>
        <w:pStyle w:val="BodyText"/>
        <w:spacing w:line="292" w:lineRule="auto" w:before="132"/>
        <w:ind w:right="295"/>
      </w:pPr>
      <w:r>
        <w:rPr>
          <w:color w:val="6E6158"/>
        </w:rPr>
        <w:t>2014 licensing and approvals for acquisition by Global Cash Access Holdings, Inc. of </w:t>
      </w:r>
      <w:r>
        <w:rPr>
          <w:color w:val="6E6158"/>
        </w:rPr>
        <w:t>Multimedia</w:t>
      </w:r>
      <w:r>
        <w:rPr>
          <w:color w:val="6E6158"/>
          <w:spacing w:val="40"/>
        </w:rPr>
        <w:t> </w:t>
      </w:r>
      <w:r>
        <w:rPr>
          <w:color w:val="6E6158"/>
        </w:rPr>
        <w:t>Games Holding Company, Inc.</w:t>
      </w:r>
    </w:p>
    <w:p>
      <w:pPr>
        <w:pStyle w:val="BodyText"/>
        <w:spacing w:line="292" w:lineRule="auto" w:before="123"/>
        <w:ind w:right="295"/>
      </w:pPr>
      <w:r>
        <w:rPr>
          <w:color w:val="6E6158"/>
        </w:rPr>
        <w:t>2013 adoption for International Game Technology and Bally Technologies, Inc. of </w:t>
      </w:r>
      <w:r>
        <w:rPr>
          <w:color w:val="6E6158"/>
        </w:rPr>
        <w:t>Nevada Gaming</w:t>
      </w:r>
      <w:r>
        <w:rPr>
          <w:color w:val="6E6158"/>
          <w:spacing w:val="40"/>
        </w:rPr>
        <w:t> </w:t>
      </w:r>
      <w:r>
        <w:rPr>
          <w:color w:val="6E6158"/>
        </w:rPr>
        <w:t>Commission</w:t>
      </w:r>
      <w:r>
        <w:rPr>
          <w:color w:val="6E6158"/>
          <w:spacing w:val="40"/>
        </w:rPr>
        <w:t> </w:t>
      </w:r>
      <w:r>
        <w:rPr>
          <w:color w:val="6E6158"/>
        </w:rPr>
        <w:t>Regulations</w:t>
      </w:r>
      <w:r>
        <w:rPr>
          <w:color w:val="6E6158"/>
          <w:spacing w:val="40"/>
        </w:rPr>
        <w:t> </w:t>
      </w:r>
      <w:r>
        <w:rPr>
          <w:color w:val="6E6158"/>
        </w:rPr>
        <w:t>authorizing</w:t>
      </w:r>
      <w:r>
        <w:rPr>
          <w:color w:val="6E6158"/>
          <w:spacing w:val="40"/>
        </w:rPr>
        <w:t> </w:t>
      </w:r>
      <w:r>
        <w:rPr>
          <w:color w:val="6E6158"/>
        </w:rPr>
        <w:t>multi-state</w:t>
      </w:r>
      <w:r>
        <w:rPr>
          <w:color w:val="6E6158"/>
          <w:spacing w:val="40"/>
        </w:rPr>
        <w:t> </w:t>
      </w:r>
      <w:r>
        <w:rPr>
          <w:color w:val="6E6158"/>
        </w:rPr>
        <w:t>progressive</w:t>
      </w:r>
      <w:r>
        <w:rPr>
          <w:color w:val="6E6158"/>
          <w:spacing w:val="40"/>
        </w:rPr>
        <w:t> </w:t>
      </w:r>
      <w:r>
        <w:rPr>
          <w:color w:val="6E6158"/>
        </w:rPr>
        <w:t>prizes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linked</w:t>
      </w:r>
      <w:r>
        <w:rPr>
          <w:color w:val="6E6158"/>
          <w:spacing w:val="40"/>
        </w:rPr>
        <w:t> </w:t>
      </w:r>
      <w:r>
        <w:rPr>
          <w:color w:val="6E6158"/>
        </w:rPr>
        <w:t>slot</w:t>
      </w:r>
    </w:p>
    <w:p>
      <w:pPr>
        <w:pStyle w:val="BodyText"/>
        <w:spacing w:before="9"/>
      </w:pPr>
      <w:r>
        <w:rPr>
          <w:color w:val="6E6158"/>
          <w:spacing w:val="-2"/>
        </w:rPr>
        <w:t>machines.</w:t>
      </w:r>
    </w:p>
    <w:p>
      <w:pPr>
        <w:pStyle w:val="BodyText"/>
        <w:spacing w:line="292" w:lineRule="auto" w:before="174"/>
        <w:ind w:right="223"/>
      </w:pPr>
      <w:r>
        <w:rPr>
          <w:color w:val="6E6158"/>
        </w:rPr>
        <w:t>2012 and 2011 licensing and approvals for acquisition by private equity consortium of </w:t>
      </w:r>
      <w:r>
        <w:rPr>
          <w:color w:val="6E6158"/>
        </w:rPr>
        <w:t>Aliante</w:t>
      </w:r>
      <w:r>
        <w:rPr>
          <w:color w:val="6E6158"/>
          <w:spacing w:val="40"/>
        </w:rPr>
        <w:t> </w:t>
      </w:r>
      <w:r>
        <w:rPr>
          <w:color w:val="6E6158"/>
        </w:rPr>
        <w:t>Casino &amp; Hotel from Stations Casino, LLC.</w:t>
      </w:r>
    </w:p>
    <w:p>
      <w:pPr>
        <w:pStyle w:val="BodyText"/>
        <w:spacing w:line="292" w:lineRule="auto" w:before="132"/>
        <w:ind w:right="295"/>
      </w:pPr>
      <w:r>
        <w:rPr>
          <w:color w:val="6E6158"/>
        </w:rPr>
        <w:t>2011 approval of utility environmental protection act permits for Armagosa Valley Solar I, LLC to</w:t>
      </w:r>
      <w:r>
        <w:rPr>
          <w:color w:val="6E6158"/>
          <w:spacing w:val="40"/>
        </w:rPr>
        <w:t> </w:t>
      </w:r>
      <w:r>
        <w:rPr>
          <w:color w:val="6E6158"/>
        </w:rPr>
        <w:t>construct 500 megawatt solar generation plant.</w:t>
      </w:r>
    </w:p>
    <w:p>
      <w:pPr>
        <w:pStyle w:val="BodyText"/>
        <w:spacing w:line="292" w:lineRule="auto" w:before="123"/>
        <w:ind w:right="295"/>
      </w:pPr>
      <w:r>
        <w:rPr>
          <w:color w:val="6E6158"/>
        </w:rPr>
        <w:t>2011 and 2010 approvals for credit facilities and notes offerings by International Game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Technology.</w:t>
      </w:r>
    </w:p>
    <w:p>
      <w:pPr>
        <w:pStyle w:val="BodyText"/>
        <w:spacing w:line="292" w:lineRule="auto" w:before="131"/>
        <w:ind w:right="223"/>
      </w:pPr>
      <w:r>
        <w:rPr>
          <w:color w:val="6E6158"/>
        </w:rPr>
        <w:t>2011 and 2009 legislative engagements for the Association of Gaming Equipment </w:t>
      </w:r>
      <w:r>
        <w:rPr>
          <w:color w:val="6E6158"/>
        </w:rPr>
        <w:t>Manufacturers</w:t>
      </w:r>
      <w:r>
        <w:rPr>
          <w:color w:val="6E6158"/>
          <w:spacing w:val="40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Assembly</w:t>
      </w:r>
      <w:r>
        <w:rPr>
          <w:color w:val="6E6158"/>
          <w:spacing w:val="26"/>
        </w:rPr>
        <w:t> </w:t>
      </w:r>
      <w:r>
        <w:rPr>
          <w:color w:val="6E6158"/>
        </w:rPr>
        <w:t>Bill</w:t>
      </w:r>
      <w:r>
        <w:rPr>
          <w:color w:val="6E6158"/>
          <w:spacing w:val="26"/>
        </w:rPr>
        <w:t> </w:t>
      </w:r>
      <w:r>
        <w:rPr>
          <w:color w:val="6E6158"/>
        </w:rPr>
        <w:t>294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Senate</w:t>
      </w:r>
      <w:r>
        <w:rPr>
          <w:color w:val="6E6158"/>
          <w:spacing w:val="26"/>
        </w:rPr>
        <w:t> </w:t>
      </w:r>
      <w:r>
        <w:rPr>
          <w:color w:val="6E6158"/>
        </w:rPr>
        <w:t>Bill</w:t>
      </w:r>
      <w:r>
        <w:rPr>
          <w:color w:val="6E6158"/>
          <w:spacing w:val="26"/>
        </w:rPr>
        <w:t> </w:t>
      </w:r>
      <w:r>
        <w:rPr>
          <w:color w:val="6E6158"/>
        </w:rPr>
        <w:t>83</w:t>
      </w:r>
      <w:r>
        <w:rPr>
          <w:color w:val="6E6158"/>
          <w:spacing w:val="26"/>
        </w:rPr>
        <w:t> </w:t>
      </w:r>
      <w:r>
        <w:rPr>
          <w:color w:val="6E6158"/>
        </w:rPr>
        <w:t>providing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regulation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gaming</w:t>
      </w:r>
      <w:r>
        <w:rPr>
          <w:color w:val="6E6158"/>
          <w:spacing w:val="26"/>
        </w:rPr>
        <w:t> </w:t>
      </w:r>
      <w:r>
        <w:rPr>
          <w:color w:val="6E6158"/>
        </w:rPr>
        <w:t>device</w:t>
      </w:r>
    </w:p>
    <w:p>
      <w:pPr>
        <w:pStyle w:val="BodyText"/>
        <w:spacing w:before="1"/>
      </w:pPr>
      <w:r>
        <w:rPr>
          <w:color w:val="6E6158"/>
        </w:rPr>
        <w:t>independent</w:t>
      </w:r>
      <w:r>
        <w:rPr>
          <w:color w:val="6E6158"/>
          <w:spacing w:val="25"/>
        </w:rPr>
        <w:t> </w:t>
      </w:r>
      <w:r>
        <w:rPr>
          <w:color w:val="6E6158"/>
          <w:spacing w:val="-2"/>
        </w:rPr>
        <w:t>contractors.</w:t>
      </w:r>
    </w:p>
    <w:p>
      <w:pPr>
        <w:pStyle w:val="BodyText"/>
        <w:spacing w:line="302" w:lineRule="auto" w:before="174"/>
        <w:ind w:right="295"/>
      </w:pPr>
      <w:r>
        <w:rPr>
          <w:color w:val="6E6158"/>
        </w:rPr>
        <w:t>2010 approval of award and contract by Regional Transportation Commission of Washoe </w:t>
      </w:r>
      <w:r>
        <w:rPr>
          <w:color w:val="6E6158"/>
        </w:rPr>
        <w:t>County</w:t>
      </w:r>
      <w:r>
        <w:rPr>
          <w:color w:val="6E6158"/>
          <w:spacing w:val="40"/>
        </w:rPr>
        <w:t> </w:t>
      </w:r>
      <w:r>
        <w:rPr>
          <w:color w:val="6E6158"/>
        </w:rPr>
        <w:t>for First Transit.</w:t>
      </w:r>
    </w:p>
    <w:p>
      <w:pPr>
        <w:pStyle w:val="BodyText"/>
        <w:spacing w:line="292" w:lineRule="auto" w:before="113"/>
        <w:ind w:right="295"/>
      </w:pPr>
      <w:r>
        <w:rPr>
          <w:color w:val="6E6158"/>
        </w:rPr>
        <w:t>2009 approval of award and contract by Nevada Public Employees Retirement System </w:t>
      </w:r>
      <w:r>
        <w:rPr>
          <w:color w:val="6E6158"/>
        </w:rPr>
        <w:t>for Diversified Dental Services, Inc.</w:t>
      </w:r>
    </w:p>
    <w:p>
      <w:pPr>
        <w:pStyle w:val="BodyText"/>
        <w:spacing w:line="295" w:lineRule="auto" w:before="123"/>
        <w:ind w:right="295"/>
      </w:pPr>
      <w:r>
        <w:rPr>
          <w:color w:val="6E6158"/>
        </w:rPr>
        <w:t>2007, 2003 and 1999 legislative engagements for AT&amp;T, Inc. and SBC Communications, Inc. on Assembly Bill 518, Assembly Bill 526, Senate Bill 400 and Senate Bill 440 adopting the state video</w:t>
      </w:r>
      <w:r>
        <w:rPr>
          <w:color w:val="6E6158"/>
          <w:spacing w:val="40"/>
        </w:rPr>
        <w:t> </w:t>
      </w:r>
      <w:r>
        <w:rPr>
          <w:color w:val="6E6158"/>
        </w:rPr>
        <w:t>services franchise act and proving plan and program for telecommunications market </w:t>
      </w:r>
      <w:r>
        <w:rPr>
          <w:color w:val="6E6158"/>
        </w:rPr>
        <w:t>regulatory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reform.</w:t>
      </w:r>
    </w:p>
    <w:p>
      <w:pPr>
        <w:pStyle w:val="BodyText"/>
        <w:spacing w:line="420" w:lineRule="auto" w:before="132"/>
        <w:ind w:right="1762"/>
      </w:pPr>
      <w:r>
        <w:rPr>
          <w:color w:val="6E6158"/>
        </w:rPr>
        <w:t>2007 approvals of merger of First Republic Bank with Merrill Lynch Bank &amp; </w:t>
      </w:r>
      <w:r>
        <w:rPr>
          <w:color w:val="6E6158"/>
        </w:rPr>
        <w:t>Trust. 2006 approval of demutualization of Employers’ Insurance Group.</w:t>
      </w:r>
    </w:p>
    <w:p>
      <w:pPr>
        <w:spacing w:line="288" w:lineRule="auto" w:before="0"/>
        <w:ind w:left="99" w:right="295" w:firstLine="0"/>
        <w:jc w:val="left"/>
        <w:rPr>
          <w:sz w:val="19"/>
        </w:rPr>
      </w:pPr>
      <w:r>
        <w:rPr>
          <w:i/>
          <w:color w:val="6E6158"/>
          <w:sz w:val="20"/>
        </w:rPr>
        <w:t>International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Game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Technology,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et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al.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Second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Judicial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District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Court,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et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al.,</w:t>
      </w:r>
      <w:r>
        <w:rPr>
          <w:i/>
          <w:color w:val="6E6158"/>
          <w:spacing w:val="-12"/>
          <w:sz w:val="20"/>
        </w:rPr>
        <w:t> </w:t>
      </w:r>
      <w:r>
        <w:rPr>
          <w:color w:val="6E6158"/>
          <w:sz w:val="19"/>
        </w:rPr>
        <w:t>122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Nev.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132,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127 P.3d 1088 (2006).</w:t>
      </w:r>
    </w:p>
    <w:p>
      <w:pPr>
        <w:spacing w:line="408" w:lineRule="auto" w:before="114"/>
        <w:ind w:left="99" w:right="1762" w:firstLine="0"/>
        <w:jc w:val="left"/>
        <w:rPr>
          <w:sz w:val="19"/>
        </w:rPr>
      </w:pPr>
      <w:r>
        <w:rPr>
          <w:i/>
          <w:color w:val="6E6158"/>
          <w:sz w:val="20"/>
        </w:rPr>
        <w:t>Attorney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General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NOS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Communications,</w:t>
      </w:r>
      <w:r>
        <w:rPr>
          <w:i/>
          <w:color w:val="6E6158"/>
          <w:spacing w:val="-7"/>
          <w:sz w:val="20"/>
        </w:rPr>
        <w:t> </w:t>
      </w:r>
      <w:r>
        <w:rPr>
          <w:color w:val="6E6158"/>
          <w:sz w:val="19"/>
        </w:rPr>
        <w:t>120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Nev.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65,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84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P.3d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1052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(2004). 2003 licenses and approvals for formation of Schwab Bank, N.A.</w:t>
      </w:r>
    </w:p>
    <w:p>
      <w:pPr>
        <w:pStyle w:val="BodyText"/>
        <w:spacing w:line="292" w:lineRule="auto" w:before="11"/>
        <w:ind w:right="223"/>
      </w:pPr>
      <w:r>
        <w:rPr>
          <w:color w:val="6E6158"/>
        </w:rPr>
        <w:t>2003 approval for SBC Communications, Inc. to offer long-distance service under Section 271 of</w:t>
      </w:r>
      <w:r>
        <w:rPr>
          <w:color w:val="6E6158"/>
          <w:spacing w:val="40"/>
        </w:rPr>
        <w:t> </w:t>
      </w:r>
      <w:r>
        <w:rPr>
          <w:color w:val="6E6158"/>
        </w:rPr>
        <w:t>the Telecommunications Act.</w:t>
      </w:r>
    </w:p>
    <w:p>
      <w:pPr>
        <w:spacing w:before="12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Sengel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International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Game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Technology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116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Nev.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565,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2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P.3d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258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2"/>
          <w:sz w:val="19"/>
        </w:rPr>
        <w:t>(2000).</w:t>
      </w:r>
    </w:p>
    <w:p>
      <w:pPr>
        <w:spacing w:after="0"/>
        <w:jc w:val="left"/>
        <w:rPr>
          <w:sz w:val="19"/>
        </w:rPr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95"/>
      </w:pPr>
      <w:r>
        <w:rPr>
          <w:color w:val="6E6158"/>
        </w:rPr>
        <w:t>1999 initial registration and licensing of Sierra Design Group as manufacturer and distributor of</w:t>
      </w:r>
      <w:r>
        <w:rPr>
          <w:color w:val="6E6158"/>
          <w:spacing w:val="40"/>
        </w:rPr>
        <w:t> </w:t>
      </w:r>
      <w:r>
        <w:rPr>
          <w:color w:val="6E6158"/>
        </w:rPr>
        <w:t>gaming equipment.</w:t>
      </w:r>
    </w:p>
    <w:p>
      <w:pPr>
        <w:pStyle w:val="BodyText"/>
        <w:spacing w:before="132"/>
      </w:pPr>
      <w:r>
        <w:rPr>
          <w:color w:val="6E6158"/>
        </w:rPr>
        <w:t>1999</w:t>
      </w:r>
      <w:r>
        <w:rPr>
          <w:color w:val="6E6158"/>
          <w:spacing w:val="13"/>
        </w:rPr>
        <w:t> </w:t>
      </w:r>
      <w:r>
        <w:rPr>
          <w:color w:val="6E6158"/>
        </w:rPr>
        <w:t>approval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4"/>
        </w:rPr>
        <w:t> </w:t>
      </w:r>
      <w:r>
        <w:rPr>
          <w:color w:val="6E6158"/>
        </w:rPr>
        <w:t>SBC</w:t>
      </w:r>
      <w:r>
        <w:rPr>
          <w:color w:val="6E6158"/>
          <w:spacing w:val="13"/>
        </w:rPr>
        <w:t> </w:t>
      </w:r>
      <w:r>
        <w:rPr>
          <w:color w:val="6E6158"/>
        </w:rPr>
        <w:t>Communications,</w:t>
      </w:r>
      <w:r>
        <w:rPr>
          <w:color w:val="6E6158"/>
          <w:spacing w:val="14"/>
        </w:rPr>
        <w:t> </w:t>
      </w:r>
      <w:r>
        <w:rPr>
          <w:color w:val="6E6158"/>
        </w:rPr>
        <w:t>Inc.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acquire</w:t>
      </w:r>
      <w:r>
        <w:rPr>
          <w:color w:val="6E6158"/>
          <w:spacing w:val="13"/>
        </w:rPr>
        <w:t> </w:t>
      </w:r>
      <w:r>
        <w:rPr>
          <w:color w:val="6E6158"/>
        </w:rPr>
        <w:t>Ameritech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Corporation.</w:t>
      </w:r>
    </w:p>
    <w:p>
      <w:pPr>
        <w:pStyle w:val="BodyText"/>
        <w:spacing w:line="292" w:lineRule="auto" w:before="174"/>
        <w:ind w:right="295"/>
      </w:pPr>
      <w:r>
        <w:rPr>
          <w:color w:val="6E6158"/>
        </w:rPr>
        <w:t>1998 and 1997 initial registration and licensing of Starwood Hotels &amp; Resorts Worldwide, Inc.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acquisition of ITT Sheraton Corporation and Caesars World, Inc.</w:t>
      </w:r>
    </w:p>
    <w:p>
      <w:pPr>
        <w:pStyle w:val="BodyText"/>
        <w:spacing w:line="302" w:lineRule="auto" w:before="123"/>
        <w:ind w:right="408"/>
      </w:pPr>
      <w:r>
        <w:rPr>
          <w:color w:val="6E6158"/>
        </w:rPr>
        <w:t>1997 legislative engagement for First Republic Bank on Assembly Bill 360 providing for </w:t>
      </w:r>
      <w:r>
        <w:rPr>
          <w:color w:val="6E6158"/>
        </w:rPr>
        <w:t>banking</w:t>
      </w:r>
      <w:r>
        <w:rPr>
          <w:color w:val="6E6158"/>
          <w:spacing w:val="40"/>
        </w:rPr>
        <w:t> </w:t>
      </w:r>
      <w:r>
        <w:rPr>
          <w:color w:val="6E6158"/>
        </w:rPr>
        <w:t>and thrift company regulatory reform.</w:t>
      </w:r>
    </w:p>
    <w:p>
      <w:pPr>
        <w:pStyle w:val="BodyText"/>
        <w:spacing w:line="420" w:lineRule="auto" w:before="113"/>
        <w:ind w:right="1255"/>
      </w:pPr>
      <w:r>
        <w:rPr>
          <w:color w:val="6E6158"/>
        </w:rPr>
        <w:t>1996 approval for SBC Communications, Inc. to acquire Pacific Telesis </w:t>
      </w:r>
      <w:r>
        <w:rPr>
          <w:color w:val="6E6158"/>
        </w:rPr>
        <w:t>Corporation. 1996 approvals of acquisition of First Interstate Bank by Wells Fargo, N.A.</w:t>
      </w:r>
    </w:p>
    <w:p>
      <w:pPr>
        <w:pStyle w:val="BodyText"/>
        <w:spacing w:line="302" w:lineRule="auto"/>
        <w:ind w:right="295"/>
      </w:pPr>
      <w:r>
        <w:rPr>
          <w:color w:val="6E6158"/>
        </w:rPr>
        <w:t>1995 initial registration and licensing of WMS Industries Inc. as manufacturer and distributor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gaming equipment.</w:t>
      </w:r>
    </w:p>
    <w:p>
      <w:pPr>
        <w:spacing w:before="10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Kraft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Jacka</w:t>
      </w:r>
      <w:r>
        <w:rPr>
          <w:color w:val="6E6158"/>
          <w:sz w:val="19"/>
        </w:rPr>
        <w:t>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872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F.2d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862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(9th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Cir.</w:t>
      </w:r>
      <w:r>
        <w:rPr>
          <w:color w:val="6E6158"/>
          <w:spacing w:val="-3"/>
          <w:sz w:val="19"/>
        </w:rPr>
        <w:t> </w:t>
      </w:r>
      <w:r>
        <w:rPr>
          <w:color w:val="6E6158"/>
          <w:spacing w:val="-2"/>
          <w:sz w:val="19"/>
        </w:rPr>
        <w:t>1989).</w:t>
      </w:r>
    </w:p>
    <w:p>
      <w:pPr>
        <w:spacing w:before="16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Hotel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Employees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State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Gaming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Control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Bd.,</w:t>
      </w:r>
      <w:r>
        <w:rPr>
          <w:i/>
          <w:color w:val="6E6158"/>
          <w:spacing w:val="-9"/>
          <w:sz w:val="20"/>
        </w:rPr>
        <w:t> </w:t>
      </w:r>
      <w:r>
        <w:rPr>
          <w:color w:val="6E6158"/>
          <w:sz w:val="19"/>
        </w:rPr>
        <w:t>103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Nev.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588,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747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P.2d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878</w:t>
      </w:r>
      <w:r>
        <w:rPr>
          <w:color w:val="6E6158"/>
          <w:spacing w:val="-6"/>
          <w:sz w:val="19"/>
        </w:rPr>
        <w:t> </w:t>
      </w:r>
      <w:r>
        <w:rPr>
          <w:color w:val="6E6158"/>
          <w:spacing w:val="-2"/>
          <w:sz w:val="19"/>
        </w:rPr>
        <w:t>(1987).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6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Gaming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2015,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2019,</w:t>
      </w:r>
      <w:r>
        <w:rPr>
          <w:color w:val="6E6158"/>
          <w:spacing w:val="-2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408" w:lineRule="auto" w:before="164"/>
        <w:ind w:right="295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</w:rPr>
        <w:t>Administrative/Regulatory Law, Energy Law, Gaming Law, 2005-</w:t>
      </w:r>
      <w:r>
        <w:rPr>
          <w:color w:val="6E6158"/>
        </w:rPr>
        <w:t>2027 2025 Top Rank Attorney List, Nevada Business Magazine</w:t>
      </w:r>
    </w:p>
    <w:p>
      <w:pPr>
        <w:spacing w:before="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Chambers USA,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Leading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2005-</w:t>
      </w:r>
      <w:r>
        <w:rPr>
          <w:color w:val="6E6158"/>
          <w:spacing w:val="-4"/>
          <w:sz w:val="19"/>
        </w:rPr>
        <w:t>2026</w:t>
      </w:r>
    </w:p>
    <w:p>
      <w:pPr>
        <w:spacing w:line="288" w:lineRule="auto" w:before="173"/>
        <w:ind w:left="99" w:right="295" w:firstLine="0"/>
        <w:jc w:val="left"/>
        <w:rPr>
          <w:sz w:val="19"/>
        </w:rPr>
      </w:pPr>
      <w:r>
        <w:rPr>
          <w:i/>
          <w:color w:val="6E6158"/>
          <w:sz w:val="20"/>
        </w:rPr>
        <w:t>Mountain States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Gaming &amp; Hospitality, 2007-2026, Business &amp; </w:t>
      </w:r>
      <w:r>
        <w:rPr>
          <w:color w:val="6E6158"/>
          <w:sz w:val="19"/>
        </w:rPr>
        <w:t>Finance, Government Relations &amp; Regulatory, Natural Resources, 2025-2026</w:t>
      </w:r>
    </w:p>
    <w:p>
      <w:pPr>
        <w:spacing w:line="398" w:lineRule="auto" w:before="120"/>
        <w:ind w:left="99" w:right="2754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Energy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2022 “Legal Elite,” </w:t>
      </w:r>
      <w:r>
        <w:rPr>
          <w:i/>
          <w:color w:val="6E6158"/>
          <w:sz w:val="20"/>
        </w:rPr>
        <w:t>Nevada Business Magazine</w:t>
      </w:r>
      <w:r>
        <w:rPr>
          <w:color w:val="6E6158"/>
          <w:sz w:val="19"/>
        </w:rPr>
        <w:t>, 2017</w:t>
      </w:r>
    </w:p>
    <w:p>
      <w:pPr>
        <w:pStyle w:val="BodyText"/>
        <w:spacing w:before="11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295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Thursday Thoughts with Dan Reaser: Will the Supreme Court Alter Decades of Judicial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Deference to Regulators?</w:t>
        </w:r>
      </w:hyperlink>
      <w:r>
        <w:rPr>
          <w:color w:val="6E6158"/>
        </w:rPr>
        <w:t>,” Fennemore Blog, May 16, 2024</w:t>
      </w:r>
    </w:p>
    <w:p>
      <w:pPr>
        <w:pStyle w:val="BodyText"/>
        <w:spacing w:line="292" w:lineRule="auto" w:before="132"/>
        <w:ind w:right="295"/>
      </w:pPr>
      <w:r>
        <w:rPr>
          <w:color w:val="6E6158"/>
        </w:rPr>
        <w:t>Panelist, “Ensuring Industry Sustainability through Robust Responsible Gaming </w:t>
      </w:r>
      <w:r>
        <w:rPr>
          <w:color w:val="6E6158"/>
        </w:rPr>
        <w:t>Measures,” International</w:t>
      </w:r>
      <w:r>
        <w:rPr>
          <w:color w:val="6E6158"/>
          <w:spacing w:val="36"/>
        </w:rPr>
        <w:t> </w:t>
      </w:r>
      <w:r>
        <w:rPr>
          <w:color w:val="6E6158"/>
        </w:rPr>
        <w:t>Association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Gaming</w:t>
      </w:r>
      <w:r>
        <w:rPr>
          <w:color w:val="6E6158"/>
          <w:spacing w:val="36"/>
        </w:rPr>
        <w:t> </w:t>
      </w:r>
      <w:r>
        <w:rPr>
          <w:color w:val="6E6158"/>
        </w:rPr>
        <w:t>Advisors,</w:t>
      </w:r>
      <w:r>
        <w:rPr>
          <w:color w:val="6E6158"/>
          <w:spacing w:val="36"/>
        </w:rPr>
        <w:t> </w:t>
      </w:r>
      <w:r>
        <w:rPr>
          <w:color w:val="6E6158"/>
        </w:rPr>
        <w:t>2024</w:t>
      </w:r>
      <w:r>
        <w:rPr>
          <w:color w:val="6E6158"/>
          <w:spacing w:val="36"/>
        </w:rPr>
        <w:t> </w:t>
      </w:r>
      <w:r>
        <w:rPr>
          <w:color w:val="6E6158"/>
        </w:rPr>
        <w:t>Gaming</w:t>
      </w:r>
      <w:r>
        <w:rPr>
          <w:color w:val="6E6158"/>
          <w:spacing w:val="36"/>
        </w:rPr>
        <w:t> </w:t>
      </w:r>
      <w:r>
        <w:rPr>
          <w:color w:val="6E6158"/>
        </w:rPr>
        <w:t>Summit,</w:t>
      </w:r>
      <w:r>
        <w:rPr>
          <w:color w:val="6E6158"/>
          <w:spacing w:val="36"/>
        </w:rPr>
        <w:t> </w:t>
      </w:r>
      <w:r>
        <w:rPr>
          <w:color w:val="6E6158"/>
        </w:rPr>
        <w:t>May</w:t>
      </w:r>
      <w:r>
        <w:rPr>
          <w:color w:val="6E6158"/>
          <w:spacing w:val="36"/>
        </w:rPr>
        <w:t> </w:t>
      </w:r>
      <w:r>
        <w:rPr>
          <w:color w:val="6E6158"/>
        </w:rPr>
        <w:t>30,</w:t>
      </w:r>
      <w:r>
        <w:rPr>
          <w:color w:val="6E6158"/>
          <w:spacing w:val="36"/>
        </w:rPr>
        <w:t> </w:t>
      </w:r>
      <w:r>
        <w:rPr>
          <w:color w:val="6E6158"/>
        </w:rPr>
        <w:t>2024</w:t>
      </w:r>
    </w:p>
    <w:p>
      <w:pPr>
        <w:pStyle w:val="BodyText"/>
        <w:spacing w:line="292" w:lineRule="auto" w:before="123"/>
        <w:ind w:right="408"/>
      </w:pPr>
      <w:hyperlink r:id="rId12">
        <w:r>
          <w:rPr>
            <w:color w:val="F5821F"/>
          </w:rPr>
          <w:t>Author, “Cybersecurity Changes by the Gaming Commission,” Fennemore Client </w:t>
        </w:r>
        <w:r>
          <w:rPr>
            <w:color w:val="F5821F"/>
          </w:rPr>
          <w:t>Alert,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December 30, 2022</w:t>
        </w:r>
      </w:hyperlink>
    </w:p>
    <w:p>
      <w:pPr>
        <w:pStyle w:val="BodyText"/>
        <w:spacing w:before="132"/>
      </w:pPr>
      <w:r>
        <w:rPr>
          <w:color w:val="6E6158"/>
        </w:rPr>
        <w:t>Quoted,</w:t>
      </w:r>
      <w:r>
        <w:rPr>
          <w:color w:val="6E6158"/>
          <w:spacing w:val="11"/>
        </w:rPr>
        <w:t> </w:t>
      </w:r>
      <w:r>
        <w:rPr>
          <w:color w:val="6E6158"/>
        </w:rPr>
        <w:t>“Lawsuit</w:t>
      </w:r>
      <w:r>
        <w:rPr>
          <w:color w:val="6E6158"/>
          <w:spacing w:val="12"/>
        </w:rPr>
        <w:t> </w:t>
      </w:r>
      <w:r>
        <w:rPr>
          <w:color w:val="6E6158"/>
        </w:rPr>
        <w:t>filed</w:t>
      </w:r>
      <w:r>
        <w:rPr>
          <w:color w:val="6E6158"/>
          <w:spacing w:val="11"/>
        </w:rPr>
        <w:t> </w:t>
      </w:r>
      <w:r>
        <w:rPr>
          <w:color w:val="6E6158"/>
        </w:rPr>
        <w:t>against</w:t>
      </w:r>
      <w:r>
        <w:rPr>
          <w:color w:val="6E6158"/>
          <w:spacing w:val="12"/>
        </w:rPr>
        <w:t> </w:t>
      </w:r>
      <w:r>
        <w:rPr>
          <w:color w:val="6E6158"/>
        </w:rPr>
        <w:t>Nevada</w:t>
      </w:r>
      <w:r>
        <w:rPr>
          <w:color w:val="6E6158"/>
          <w:spacing w:val="12"/>
        </w:rPr>
        <w:t> </w:t>
      </w:r>
      <w:r>
        <w:rPr>
          <w:color w:val="6E6158"/>
        </w:rPr>
        <w:t>mail-in</w:t>
      </w:r>
      <w:r>
        <w:rPr>
          <w:color w:val="6E6158"/>
          <w:spacing w:val="11"/>
        </w:rPr>
        <w:t> </w:t>
      </w:r>
      <w:r>
        <w:rPr>
          <w:color w:val="6E6158"/>
        </w:rPr>
        <w:t>voting</w:t>
      </w:r>
      <w:r>
        <w:rPr>
          <w:color w:val="6E6158"/>
          <w:spacing w:val="12"/>
        </w:rPr>
        <w:t> </w:t>
      </w:r>
      <w:r>
        <w:rPr>
          <w:color w:val="6E6158"/>
        </w:rPr>
        <w:t>law,”</w:t>
      </w:r>
      <w:r>
        <w:rPr>
          <w:color w:val="6E6158"/>
          <w:spacing w:val="12"/>
        </w:rPr>
        <w:t> </w:t>
      </w:r>
      <w:r>
        <w:rPr>
          <w:color w:val="6E6158"/>
        </w:rPr>
        <w:t>KTVN</w:t>
      </w:r>
      <w:r>
        <w:rPr>
          <w:color w:val="6E6158"/>
          <w:spacing w:val="11"/>
        </w:rPr>
        <w:t> </w:t>
      </w:r>
      <w:r>
        <w:rPr>
          <w:color w:val="6E6158"/>
        </w:rPr>
        <w:t>2</w:t>
      </w:r>
      <w:r>
        <w:rPr>
          <w:color w:val="6E6158"/>
          <w:spacing w:val="12"/>
        </w:rPr>
        <w:t> </w:t>
      </w:r>
      <w:r>
        <w:rPr>
          <w:color w:val="6E6158"/>
        </w:rPr>
        <w:t>News,</w:t>
      </w:r>
      <w:r>
        <w:rPr>
          <w:color w:val="6E6158"/>
          <w:spacing w:val="12"/>
        </w:rPr>
        <w:t> </w:t>
      </w:r>
      <w:r>
        <w:rPr>
          <w:color w:val="6E6158"/>
        </w:rPr>
        <w:t>August</w:t>
      </w:r>
      <w:r>
        <w:rPr>
          <w:color w:val="6E6158"/>
          <w:spacing w:val="11"/>
        </w:rPr>
        <w:t> </w:t>
      </w:r>
      <w:r>
        <w:rPr>
          <w:color w:val="6E6158"/>
        </w:rPr>
        <w:t>5,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73"/>
        <w:ind w:right="295"/>
      </w:pPr>
      <w:hyperlink r:id="rId13">
        <w:r>
          <w:rPr>
            <w:color w:val="FF8100"/>
          </w:rPr>
          <w:t>Co-author, “Nevada Creates Tax Amnesty Program Providing Relief From Penalties and Interest,”</w:t>
        </w:r>
      </w:hyperlink>
      <w:r>
        <w:rPr>
          <w:color w:val="FF8100"/>
        </w:rPr>
        <w:t> </w:t>
      </w:r>
      <w:hyperlink r:id="rId13">
        <w:r>
          <w:rPr>
            <w:color w:val="FF8100"/>
          </w:rPr>
          <w:t>Fennemore Client Alert, July 24, 2020</w:t>
        </w:r>
      </w:hyperlink>
    </w:p>
    <w:p>
      <w:pPr>
        <w:pStyle w:val="BodyText"/>
        <w:spacing w:line="290" w:lineRule="auto" w:before="124"/>
        <w:ind w:right="295"/>
      </w:pPr>
      <w:r>
        <w:rPr>
          <w:color w:val="6E6158"/>
        </w:rPr>
        <w:t>Quoted, “Digital and cashless gaming technology viewed as bringing casinos into the </w:t>
      </w:r>
      <w:r>
        <w:rPr>
          <w:color w:val="6E6158"/>
        </w:rPr>
        <w:t>21st</w:t>
      </w:r>
      <w:r>
        <w:rPr>
          <w:color w:val="6E6158"/>
          <w:spacing w:val="40"/>
        </w:rPr>
        <w:t> </w:t>
      </w:r>
      <w:r>
        <w:rPr>
          <w:color w:val="6E6158"/>
        </w:rPr>
        <w:t>century”, </w:t>
      </w:r>
      <w:r>
        <w:rPr>
          <w:i/>
          <w:color w:val="6E6158"/>
          <w:sz w:val="20"/>
        </w:rPr>
        <w:t>The Nevada Independent</w:t>
      </w:r>
      <w:r>
        <w:rPr>
          <w:color w:val="6E6158"/>
        </w:rPr>
        <w:t>, June 22, 2020</w:t>
      </w:r>
    </w:p>
    <w:p>
      <w:pPr>
        <w:pStyle w:val="BodyText"/>
        <w:spacing w:line="292" w:lineRule="auto" w:before="121"/>
        <w:ind w:right="295"/>
      </w:pPr>
      <w:hyperlink r:id="rId14">
        <w:r>
          <w:rPr>
            <w:color w:val="FF8100"/>
          </w:rPr>
          <w:t>Co-author, “Nevada Businesses Should Not Delay Renewing Their Licenses and </w:t>
        </w:r>
        <w:r>
          <w:rPr>
            <w:color w:val="FF8100"/>
          </w:rPr>
          <w:t>Permits,”</w:t>
        </w:r>
      </w:hyperlink>
      <w:r>
        <w:rPr>
          <w:color w:val="FF8100"/>
        </w:rPr>
        <w:t> </w:t>
      </w:r>
      <w:hyperlink r:id="rId14">
        <w:r>
          <w:rPr>
            <w:color w:val="FF8100"/>
          </w:rPr>
          <w:t>Fennemore Client Alert, April 23, 2020</w:t>
        </w:r>
      </w:hyperlink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spacing w:line="288" w:lineRule="auto" w:before="7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 “Betting on Nevada: Gaming Industry Outlook,”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February </w:t>
      </w:r>
      <w:r>
        <w:rPr>
          <w:color w:val="6E6158"/>
          <w:sz w:val="19"/>
        </w:rPr>
        <w:t>1,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283" w:lineRule="auto" w:before="136"/>
        <w:ind w:right="295"/>
      </w:pPr>
      <w:hyperlink r:id="rId15">
        <w:r>
          <w:rPr>
            <w:color w:val="FF8100"/>
          </w:rPr>
          <w:t>Author, “OPINION: Plea for further restrictions on ex parte communications with the </w:t>
        </w:r>
        <w:r>
          <w:rPr>
            <w:color w:val="FF8100"/>
          </w:rPr>
          <w:t>Nevada</w:t>
        </w:r>
      </w:hyperlink>
      <w:r>
        <w:rPr>
          <w:color w:val="FF8100"/>
        </w:rPr>
        <w:t> </w:t>
      </w:r>
      <w:hyperlink r:id="rId15">
        <w:r>
          <w:rPr>
            <w:color w:val="FF8100"/>
          </w:rPr>
          <w:t>Gaming Commission is misguided,”</w:t>
        </w:r>
      </w:hyperlink>
      <w:r>
        <w:rPr>
          <w:color w:val="FF8100"/>
        </w:rPr>
        <w:t> </w:t>
      </w:r>
      <w:hyperlink r:id="rId15">
        <w:r>
          <w:rPr>
            <w:i/>
            <w:color w:val="FF8100"/>
            <w:sz w:val="20"/>
          </w:rPr>
          <w:t>CDC Gaming Reports, Inc.,</w:t>
        </w:r>
      </w:hyperlink>
      <w:r>
        <w:rPr>
          <w:i/>
          <w:color w:val="FF8100"/>
          <w:sz w:val="20"/>
        </w:rPr>
        <w:t> </w:t>
      </w:r>
      <w:hyperlink r:id="rId15">
        <w:r>
          <w:rPr>
            <w:color w:val="FF8100"/>
          </w:rPr>
          <w:t>January 24, 2020</w:t>
        </w:r>
      </w:hyperlink>
    </w:p>
    <w:p>
      <w:pPr>
        <w:pStyle w:val="BodyText"/>
        <w:spacing w:line="283" w:lineRule="auto" w:before="128"/>
        <w:ind w:right="295"/>
      </w:pPr>
      <w:r>
        <w:rPr>
          <w:color w:val="6E6158"/>
        </w:rPr>
        <w:t>Quoted, “Nevada Gaming Attorneys Caution Lawmakers on Sports Betting: ‘You Really Have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Give It Some Serious Thought’,” </w:t>
      </w:r>
      <w:r>
        <w:rPr>
          <w:i/>
          <w:color w:val="6E6158"/>
          <w:sz w:val="20"/>
        </w:rPr>
        <w:t>The Nevada Independent, </w:t>
      </w:r>
      <w:r>
        <w:rPr>
          <w:color w:val="6E6158"/>
        </w:rPr>
        <w:t>January 14, 2020</w:t>
      </w:r>
    </w:p>
    <w:p>
      <w:pPr>
        <w:pStyle w:val="BodyText"/>
        <w:spacing w:before="135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“Best</w:t>
      </w:r>
      <w:r>
        <w:rPr>
          <w:color w:val="6E6158"/>
          <w:spacing w:val="11"/>
        </w:rPr>
        <w:t> </w:t>
      </w:r>
      <w:r>
        <w:rPr>
          <w:color w:val="6E6158"/>
        </w:rPr>
        <w:t>Practices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Future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Sports</w:t>
      </w:r>
      <w:r>
        <w:rPr>
          <w:color w:val="6E6158"/>
          <w:spacing w:val="11"/>
        </w:rPr>
        <w:t> </w:t>
      </w:r>
      <w:r>
        <w:rPr>
          <w:color w:val="6E6158"/>
        </w:rPr>
        <w:t>Betting,”</w:t>
      </w:r>
      <w:r>
        <w:rPr>
          <w:color w:val="6E6158"/>
          <w:spacing w:val="11"/>
        </w:rPr>
        <w:t> </w:t>
      </w:r>
      <w:r>
        <w:rPr>
          <w:color w:val="6E6158"/>
        </w:rPr>
        <w:t>NCLGS</w:t>
      </w:r>
      <w:r>
        <w:rPr>
          <w:color w:val="6E6158"/>
          <w:spacing w:val="11"/>
        </w:rPr>
        <w:t> </w:t>
      </w:r>
      <w:r>
        <w:rPr>
          <w:color w:val="6E6158"/>
        </w:rPr>
        <w:t>Winter</w:t>
      </w:r>
      <w:r>
        <w:rPr>
          <w:color w:val="6E6158"/>
          <w:spacing w:val="11"/>
        </w:rPr>
        <w:t> </w:t>
      </w:r>
      <w:r>
        <w:rPr>
          <w:color w:val="6E6158"/>
        </w:rPr>
        <w:t>Meeting,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78" w:lineRule="auto" w:before="164"/>
        <w:ind w:right="223"/>
      </w:pPr>
      <w:hyperlink r:id="rId16">
        <w:r>
          <w:rPr>
            <w:color w:val="FF8100"/>
          </w:rPr>
          <w:t>Author, “A Missed Chance: Nevada’s Rejection of Adaptive Play for Skill-Based Games,”</w:t>
        </w:r>
      </w:hyperlink>
      <w:r>
        <w:rPr>
          <w:color w:val="FF8100"/>
        </w:rPr>
        <w:t> </w:t>
      </w:r>
      <w:hyperlink r:id="rId16">
        <w:r>
          <w:rPr>
            <w:i/>
            <w:color w:val="FF8100"/>
            <w:sz w:val="20"/>
          </w:rPr>
          <w:t>Gaming</w:t>
        </w:r>
      </w:hyperlink>
      <w:r>
        <w:rPr>
          <w:i/>
          <w:color w:val="FF8100"/>
          <w:sz w:val="20"/>
        </w:rPr>
        <w:t> </w:t>
      </w:r>
      <w:hyperlink r:id="rId16">
        <w:r>
          <w:rPr>
            <w:i/>
            <w:color w:val="FF8100"/>
            <w:sz w:val="20"/>
          </w:rPr>
          <w:t>Law Review,</w:t>
        </w:r>
      </w:hyperlink>
      <w:r>
        <w:rPr>
          <w:i/>
          <w:color w:val="FF8100"/>
          <w:sz w:val="20"/>
        </w:rPr>
        <w:t> </w:t>
      </w:r>
      <w:hyperlink r:id="rId16">
        <w:r>
          <w:rPr>
            <w:color w:val="FF8100"/>
          </w:rPr>
          <w:t>June 2018</w:t>
        </w:r>
      </w:hyperlink>
    </w:p>
    <w:p>
      <w:pPr>
        <w:pStyle w:val="BodyText"/>
        <w:spacing w:line="302" w:lineRule="auto" w:before="133"/>
        <w:ind w:right="295"/>
      </w:pPr>
      <w:r>
        <w:rPr>
          <w:color w:val="6E6158"/>
        </w:rPr>
        <w:t>Speaker, “Regulatory Challenges: Problems and Solutions,” IMGL Spring Conference, March </w:t>
      </w:r>
      <w:r>
        <w:rPr>
          <w:color w:val="6E6158"/>
        </w:rPr>
        <w:t>9, </w:t>
      </w:r>
      <w:r>
        <w:rPr>
          <w:color w:val="6E6158"/>
          <w:spacing w:val="-4"/>
        </w:rPr>
        <w:t>2018</w:t>
      </w:r>
    </w:p>
    <w:p>
      <w:pPr>
        <w:pStyle w:val="BodyText"/>
        <w:spacing w:line="412" w:lineRule="auto" w:before="113"/>
        <w:ind w:right="1035"/>
      </w:pPr>
      <w:r>
        <w:rPr>
          <w:color w:val="6E6158"/>
        </w:rPr>
        <w:t>Quoted, “PropSwap: A Company Looking to Hedge Your Bet,” ESPN, November 8, </w:t>
      </w:r>
      <w:r>
        <w:rPr>
          <w:color w:val="6E6158"/>
        </w:rPr>
        <w:t>2017 </w:t>
      </w:r>
      <w:hyperlink r:id="rId17">
        <w:r>
          <w:rPr>
            <w:color w:val="FF8100"/>
          </w:rPr>
          <w:t>Co-author,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“Nevada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Energy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Choice,”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October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12,</w:t>
        </w:r>
        <w:r>
          <w:rPr>
            <w:color w:val="FF8100"/>
            <w:spacing w:val="37"/>
          </w:rPr>
          <w:t> </w:t>
        </w:r>
        <w:r>
          <w:rPr>
            <w:color w:val="FF8100"/>
          </w:rPr>
          <w:t>2017</w:t>
        </w:r>
      </w:hyperlink>
      <w:r>
        <w:rPr>
          <w:color w:val="FF8100"/>
        </w:rPr>
        <w:t> </w:t>
      </w:r>
      <w:hyperlink r:id="rId18">
        <w:r>
          <w:rPr>
            <w:color w:val="FF8100"/>
          </w:rPr>
          <w:t>Author, “The Next Evolution in Gaming Law,”</w:t>
        </w:r>
      </w:hyperlink>
      <w:r>
        <w:rPr>
          <w:color w:val="FF8100"/>
        </w:rPr>
        <w:t> </w:t>
      </w:r>
      <w:hyperlink r:id="rId18">
        <w:r>
          <w:rPr>
            <w:i/>
            <w:color w:val="FF8100"/>
            <w:sz w:val="20"/>
          </w:rPr>
          <w:t>Super Lawyers,</w:t>
        </w:r>
      </w:hyperlink>
      <w:r>
        <w:rPr>
          <w:i/>
          <w:color w:val="FF8100"/>
          <w:sz w:val="20"/>
        </w:rPr>
        <w:t> </w:t>
      </w:r>
      <w:hyperlink r:id="rId18">
        <w:r>
          <w:rPr>
            <w:color w:val="FF8100"/>
          </w:rPr>
          <w:t>2016</w:t>
        </w:r>
      </w:hyperlink>
    </w:p>
    <w:p>
      <w:pPr>
        <w:pStyle w:val="BodyText"/>
        <w:spacing w:line="241" w:lineRule="exact"/>
      </w:pPr>
      <w:r>
        <w:rPr>
          <w:color w:val="6E6158"/>
        </w:rPr>
        <w:t>Author,</w:t>
      </w:r>
      <w:r>
        <w:rPr>
          <w:color w:val="6E6158"/>
          <w:spacing w:val="5"/>
        </w:rPr>
        <w:t> </w:t>
      </w:r>
      <w:r>
        <w:rPr>
          <w:color w:val="6E6158"/>
        </w:rPr>
        <w:t>“Nevada</w:t>
      </w:r>
      <w:r>
        <w:rPr>
          <w:color w:val="6E6158"/>
          <w:spacing w:val="5"/>
        </w:rPr>
        <w:t> </w:t>
      </w:r>
      <w:r>
        <w:rPr>
          <w:color w:val="6E6158"/>
        </w:rPr>
        <w:t>Lobbying,</w:t>
      </w:r>
      <w:r>
        <w:rPr>
          <w:color w:val="6E6158"/>
          <w:spacing w:val="5"/>
        </w:rPr>
        <w:t> </w:t>
      </w:r>
      <w:r>
        <w:rPr>
          <w:color w:val="6E6158"/>
        </w:rPr>
        <w:t>PACs</w:t>
      </w:r>
      <w:r>
        <w:rPr>
          <w:color w:val="6E6158"/>
          <w:spacing w:val="5"/>
        </w:rPr>
        <w:t> </w:t>
      </w:r>
      <w:r>
        <w:rPr>
          <w:color w:val="6E6158"/>
        </w:rPr>
        <w:t>and</w:t>
      </w:r>
      <w:r>
        <w:rPr>
          <w:color w:val="6E6158"/>
          <w:spacing w:val="5"/>
        </w:rPr>
        <w:t> </w:t>
      </w:r>
      <w:r>
        <w:rPr>
          <w:color w:val="6E6158"/>
        </w:rPr>
        <w:t>Campaign</w:t>
      </w:r>
      <w:r>
        <w:rPr>
          <w:color w:val="6E6158"/>
          <w:spacing w:val="5"/>
        </w:rPr>
        <w:t> </w:t>
      </w:r>
      <w:r>
        <w:rPr>
          <w:color w:val="6E6158"/>
        </w:rPr>
        <w:t>Finance,”</w:t>
      </w:r>
      <w:r>
        <w:rPr>
          <w:color w:val="6E6158"/>
          <w:spacing w:val="5"/>
        </w:rPr>
        <w:t> </w:t>
      </w:r>
      <w:r>
        <w:rPr>
          <w:i/>
          <w:color w:val="6E6158"/>
          <w:sz w:val="20"/>
        </w:rPr>
        <w:t>SCG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Legal,</w:t>
      </w:r>
      <w:r>
        <w:rPr>
          <w:i/>
          <w:color w:val="6E6158"/>
          <w:spacing w:val="2"/>
          <w:sz w:val="20"/>
        </w:rPr>
        <w:t> </w:t>
      </w:r>
      <w:r>
        <w:rPr>
          <w:color w:val="6E6158"/>
          <w:spacing w:val="-4"/>
        </w:rPr>
        <w:t>2015</w:t>
      </w:r>
    </w:p>
    <w:p>
      <w:pPr>
        <w:spacing w:line="278" w:lineRule="auto" w:before="16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Author, “Gaming Law Jurisdictional Comparison: Nevada,” </w:t>
      </w:r>
      <w:r>
        <w:rPr>
          <w:i/>
          <w:color w:val="6E6158"/>
          <w:sz w:val="20"/>
        </w:rPr>
        <w:t>Thompson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Reuters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European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</w:t>
      </w:r>
      <w:r>
        <w:rPr>
          <w:i/>
          <w:color w:val="6E6158"/>
          <w:sz w:val="20"/>
        </w:rPr>
        <w:t> Reference Series, </w:t>
      </w:r>
      <w:r>
        <w:rPr>
          <w:color w:val="6E6158"/>
          <w:sz w:val="19"/>
        </w:rPr>
        <w:t>2014</w:t>
      </w:r>
    </w:p>
    <w:p>
      <w:pPr>
        <w:pStyle w:val="BodyText"/>
        <w:spacing w:line="278" w:lineRule="auto" w:before="130"/>
        <w:ind w:right="295"/>
      </w:pPr>
      <w:r>
        <w:rPr>
          <w:color w:val="6E6158"/>
        </w:rPr>
        <w:t>Author, “A Tie That Binds: Nevada Embraces Multi-Jurisdictional Progressive Prize Systems,” </w:t>
      </w:r>
      <w:r>
        <w:rPr>
          <w:i/>
          <w:color w:val="6E6158"/>
          <w:sz w:val="20"/>
        </w:rPr>
        <w:t>10</w:t>
      </w:r>
      <w:r>
        <w:rPr>
          <w:i/>
          <w:color w:val="6E6158"/>
          <w:sz w:val="20"/>
        </w:rPr>
        <w:t> Casino Lawyer 1, </w:t>
      </w:r>
      <w:r>
        <w:rPr>
          <w:color w:val="6E6158"/>
        </w:rPr>
        <w:t>Spring 2014</w:t>
      </w:r>
    </w:p>
    <w:p>
      <w:pPr>
        <w:pStyle w:val="BodyText"/>
        <w:spacing w:line="283" w:lineRule="auto" w:before="133"/>
        <w:ind w:right="295"/>
      </w:pPr>
      <w:r>
        <w:rPr>
          <w:color w:val="6E6158"/>
        </w:rPr>
        <w:t>Author, “Regulation of Gaming Device Software Development: Nevada’s Paradigm Shift </w:t>
      </w:r>
      <w:r>
        <w:rPr>
          <w:color w:val="6E6158"/>
        </w:rPr>
        <w:t>on Independent Contractors,” </w:t>
      </w:r>
      <w:r>
        <w:rPr>
          <w:i/>
          <w:color w:val="6E6158"/>
          <w:sz w:val="20"/>
        </w:rPr>
        <w:t>2 UNLV Gaming Law Journal 1, </w:t>
      </w:r>
      <w:r>
        <w:rPr>
          <w:color w:val="6E6158"/>
        </w:rPr>
        <w:t>2011</w:t>
      </w:r>
    </w:p>
    <w:p>
      <w:pPr>
        <w:pStyle w:val="BodyText"/>
        <w:spacing w:line="292" w:lineRule="auto" w:before="136"/>
        <w:ind w:right="408"/>
      </w:pPr>
      <w:r>
        <w:rPr>
          <w:color w:val="6E6158"/>
        </w:rPr>
        <w:t>Panelist, “Post-2017 Hoover Power Contracting: Building a Framework for Challenges of</w:t>
      </w:r>
      <w:r>
        <w:rPr>
          <w:color w:val="6E6158"/>
          <w:spacing w:val="40"/>
        </w:rPr>
        <w:t> </w:t>
      </w:r>
      <w:r>
        <w:rPr>
          <w:color w:val="6E6158"/>
        </w:rPr>
        <w:t>Delivering Hydropower for the Next Fifty Years,” State Bar of Nevada Section on Energy, Utilities</w:t>
      </w:r>
      <w:r>
        <w:rPr>
          <w:color w:val="6E6158"/>
          <w:spacing w:val="40"/>
        </w:rPr>
        <w:t> </w:t>
      </w:r>
      <w:r>
        <w:rPr>
          <w:color w:val="6E6158"/>
        </w:rPr>
        <w:t>and Communications Law Section Annual Conference, April 29, 2016</w:t>
      </w:r>
    </w:p>
    <w:p>
      <w:pPr>
        <w:pStyle w:val="BodyText"/>
        <w:spacing w:line="302" w:lineRule="auto" w:before="124"/>
        <w:ind w:right="295"/>
      </w:pPr>
      <w:r>
        <w:rPr>
          <w:color w:val="6E6158"/>
        </w:rPr>
        <w:t>Panelist, “Regulatory Developments on Skill Based and Hybrid Games,” International Masters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Gaming Law, Spring Meeting, April 22, 2016</w:t>
      </w:r>
    </w:p>
    <w:p>
      <w:pPr>
        <w:pStyle w:val="BodyText"/>
        <w:spacing w:before="101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5229"/>
      </w:pPr>
      <w:r>
        <w:rPr>
          <w:color w:val="6E6158"/>
        </w:rPr>
        <w:t>Member, Clark County Bar Association Member, Washoe County Bar </w:t>
      </w:r>
      <w:r>
        <w:rPr>
          <w:color w:val="6E6158"/>
        </w:rPr>
        <w:t>Association Member, American Bar Association</w:t>
      </w:r>
    </w:p>
    <w:p>
      <w:pPr>
        <w:pStyle w:val="BodyText"/>
        <w:spacing w:line="420" w:lineRule="auto"/>
        <w:ind w:right="4147"/>
      </w:pPr>
      <w:r>
        <w:rPr>
          <w:color w:val="6E6158"/>
        </w:rPr>
        <w:t>Member, International Masters of Gaming Law Member, International Association of Gaming </w:t>
      </w:r>
      <w:r>
        <w:rPr>
          <w:color w:val="6E6158"/>
        </w:rPr>
        <w:t>Advisors</w:t>
      </w:r>
    </w:p>
    <w:p>
      <w:pPr>
        <w:pStyle w:val="BodyText"/>
        <w:spacing w:line="427" w:lineRule="auto"/>
        <w:ind w:right="1035"/>
      </w:pPr>
      <w:r>
        <w:rPr>
          <w:color w:val="6E6158"/>
        </w:rPr>
        <w:t>Nevada State Bar Sections on Gaming Law, and Energy, Utilities &amp; Communication </w:t>
      </w:r>
      <w:r>
        <w:rPr>
          <w:color w:val="6E6158"/>
        </w:rPr>
        <w:t>Law Chair, Nevada Taxicab Authority Board</w:t>
      </w:r>
    </w:p>
    <w:p>
      <w:pPr>
        <w:pStyle w:val="BodyText"/>
        <w:spacing w:line="226" w:lineRule="exact"/>
      </w:pPr>
      <w:r>
        <w:rPr>
          <w:color w:val="6E6158"/>
        </w:rPr>
        <w:t>Nevada</w:t>
      </w:r>
      <w:r>
        <w:rPr>
          <w:color w:val="6E6158"/>
          <w:spacing w:val="12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</w:rPr>
        <w:t>Northern</w:t>
      </w:r>
      <w:r>
        <w:rPr>
          <w:color w:val="6E6158"/>
          <w:spacing w:val="13"/>
        </w:rPr>
        <w:t> </w:t>
      </w:r>
      <w:r>
        <w:rPr>
          <w:color w:val="6E6158"/>
        </w:rPr>
        <w:t>Fee</w:t>
      </w:r>
      <w:r>
        <w:rPr>
          <w:color w:val="6E6158"/>
          <w:spacing w:val="13"/>
        </w:rPr>
        <w:t> </w:t>
      </w:r>
      <w:r>
        <w:rPr>
          <w:color w:val="6E6158"/>
        </w:rPr>
        <w:t>Dispute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Committee</w:t>
      </w:r>
    </w:p>
    <w:p>
      <w:pPr>
        <w:pStyle w:val="BodyText"/>
        <w:spacing w:line="420" w:lineRule="auto" w:before="171"/>
        <w:ind w:right="295"/>
      </w:pPr>
      <w:r>
        <w:rPr>
          <w:color w:val="6E6158"/>
        </w:rPr>
        <w:t>Visiting Instructor, Judicial Studies Program on Gaming and the Law, National Judicial </w:t>
      </w:r>
      <w:r>
        <w:rPr>
          <w:color w:val="6E6158"/>
        </w:rPr>
        <w:t>College Audit Committee, Greater Nevada Credit Union (2012-2020)</w:t>
      </w:r>
    </w:p>
    <w:p>
      <w:pPr>
        <w:pStyle w:val="BodyText"/>
        <w:spacing w:before="7"/>
      </w:pPr>
      <w:r>
        <w:rPr>
          <w:color w:val="6E6158"/>
        </w:rPr>
        <w:t>Audit</w:t>
      </w:r>
      <w:r>
        <w:rPr>
          <w:color w:val="6E6158"/>
          <w:spacing w:val="15"/>
        </w:rPr>
        <w:t> </w:t>
      </w:r>
      <w:r>
        <w:rPr>
          <w:color w:val="6E6158"/>
        </w:rPr>
        <w:t>Committee,</w:t>
      </w:r>
      <w:r>
        <w:rPr>
          <w:color w:val="6E6158"/>
          <w:spacing w:val="15"/>
        </w:rPr>
        <w:t> </w:t>
      </w:r>
      <w:r>
        <w:rPr>
          <w:color w:val="6E6158"/>
        </w:rPr>
        <w:t>Washoe</w:t>
      </w:r>
      <w:r>
        <w:rPr>
          <w:color w:val="6E6158"/>
          <w:spacing w:val="15"/>
        </w:rPr>
        <w:t> </w:t>
      </w:r>
      <w:r>
        <w:rPr>
          <w:color w:val="6E6158"/>
        </w:rPr>
        <w:t>County</w:t>
      </w:r>
      <w:r>
        <w:rPr>
          <w:color w:val="6E6158"/>
          <w:spacing w:val="16"/>
        </w:rPr>
        <w:t> </w:t>
      </w:r>
      <w:r>
        <w:rPr>
          <w:color w:val="6E6158"/>
        </w:rPr>
        <w:t>School</w:t>
      </w:r>
      <w:r>
        <w:rPr>
          <w:color w:val="6E6158"/>
          <w:spacing w:val="15"/>
        </w:rPr>
        <w:t> </w:t>
      </w:r>
      <w:r>
        <w:rPr>
          <w:color w:val="6E6158"/>
        </w:rPr>
        <w:t>District</w:t>
      </w:r>
      <w:r>
        <w:rPr>
          <w:color w:val="6E6158"/>
          <w:spacing w:val="15"/>
        </w:rPr>
        <w:t> </w:t>
      </w:r>
      <w:r>
        <w:rPr>
          <w:color w:val="6E6158"/>
        </w:rPr>
        <w:t>(2006-</w:t>
      </w:r>
      <w:r>
        <w:rPr>
          <w:color w:val="6E6158"/>
          <w:spacing w:val="-2"/>
        </w:rPr>
        <w:t>2016)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Nevada</w:t>
      </w:r>
      <w:r>
        <w:rPr>
          <w:color w:val="6E6158"/>
          <w:spacing w:val="16"/>
        </w:rPr>
        <w:t> </w:t>
      </w:r>
      <w:r>
        <w:rPr>
          <w:color w:val="6E6158"/>
        </w:rPr>
        <w:t>State</w:t>
      </w:r>
      <w:r>
        <w:rPr>
          <w:color w:val="6E6158"/>
          <w:spacing w:val="16"/>
        </w:rPr>
        <w:t> </w:t>
      </w:r>
      <w:r>
        <w:rPr>
          <w:color w:val="6E6158"/>
        </w:rPr>
        <w:t>Bar</w:t>
      </w:r>
      <w:r>
        <w:rPr>
          <w:color w:val="6E6158"/>
          <w:spacing w:val="16"/>
        </w:rPr>
        <w:t> </w:t>
      </w:r>
      <w:r>
        <w:rPr>
          <w:color w:val="6E6158"/>
        </w:rPr>
        <w:t>Northern</w:t>
      </w:r>
      <w:r>
        <w:rPr>
          <w:color w:val="6E6158"/>
          <w:spacing w:val="16"/>
        </w:rPr>
        <w:t> </w:t>
      </w:r>
      <w:r>
        <w:rPr>
          <w:color w:val="6E6158"/>
        </w:rPr>
        <w:t>Disciplinary</w:t>
      </w:r>
      <w:r>
        <w:rPr>
          <w:color w:val="6E6158"/>
          <w:spacing w:val="17"/>
        </w:rPr>
        <w:t> </w:t>
      </w:r>
      <w:r>
        <w:rPr>
          <w:color w:val="6E6158"/>
        </w:rPr>
        <w:t>Board</w:t>
      </w:r>
      <w:r>
        <w:rPr>
          <w:color w:val="6E6158"/>
          <w:spacing w:val="16"/>
        </w:rPr>
        <w:t> </w:t>
      </w:r>
      <w:r>
        <w:rPr>
          <w:color w:val="6E6158"/>
        </w:rPr>
        <w:t>(2002-</w:t>
      </w:r>
      <w:r>
        <w:rPr>
          <w:color w:val="6E6158"/>
          <w:spacing w:val="-2"/>
        </w:rPr>
        <w:t>2014)</w:t>
      </w:r>
    </w:p>
    <w:p>
      <w:pPr>
        <w:pStyle w:val="BodyText"/>
        <w:spacing w:line="427" w:lineRule="auto" w:before="174"/>
        <w:ind w:right="1762"/>
      </w:pPr>
      <w:r>
        <w:rPr>
          <w:color w:val="6E6158"/>
        </w:rPr>
        <w:t>Nevada Standing Committee on Judicial Ethics &amp; Election Practices (2003-</w:t>
      </w:r>
      <w:r>
        <w:rPr>
          <w:color w:val="6E6158"/>
        </w:rPr>
        <w:t>2011) Nevada Private Investigators Licensing Board (1984-1985)</w:t>
      </w:r>
    </w:p>
    <w:p>
      <w:pPr>
        <w:pStyle w:val="Heading2"/>
        <w:spacing w:before="276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668"/>
      </w:pPr>
      <w:r>
        <w:rPr>
          <w:color w:val="6E6158"/>
          <w:spacing w:val="-2"/>
        </w:rPr>
        <w:t>California Nevada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Supreme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dreaser@fennemorelaw.com" TargetMode="External"/><Relationship Id="rId11" Type="http://schemas.openxmlformats.org/officeDocument/2006/relationships/hyperlink" Target="https://www.fennemorelaw.com/thursday-thoughts-with-dan-reaser-will-the-supreme-court-alter-decades-of-judicial-deference-to-regulators/" TargetMode="External"/><Relationship Id="rId12" Type="http://schemas.openxmlformats.org/officeDocument/2006/relationships/hyperlink" Target="https://mailchi.mp/9782da1c28fb/fennmore-general-elections-federal-and-state-update-dont-let-it-surprise-you-15828457?e=6383ff8993" TargetMode="External"/><Relationship Id="rId13" Type="http://schemas.openxmlformats.org/officeDocument/2006/relationships/hyperlink" Target="https://www.fennemorelaw.com/insights/newsletters/2020/nevada-creates-tax-amnesty-program-providing-relief-from-penalties-and-interest" TargetMode="External"/><Relationship Id="rId14" Type="http://schemas.openxmlformats.org/officeDocument/2006/relationships/hyperlink" Target="https://www.fennemorelaw.com/insights/newsletters/2020/nevada-businesses-should-not-delay-renewing-their-state-license-permits" TargetMode="External"/><Relationship Id="rId15" Type="http://schemas.openxmlformats.org/officeDocument/2006/relationships/hyperlink" Target="https://www.cdcgamingreports.com/opinion-plea-for-further-restrictions-on-ex-parte-communications-with-the-nevada-gaming-commission-is-misguided/" TargetMode="External"/><Relationship Id="rId16" Type="http://schemas.openxmlformats.org/officeDocument/2006/relationships/hyperlink" Target="https://www.liebertpub.com/doi/10.1089/glr2.2018.2252" TargetMode="External"/><Relationship Id="rId17" Type="http://schemas.openxmlformats.org/officeDocument/2006/relationships/hyperlink" Target="https://www.fennemorelaw.com/insights/newsletters/2017/nevada-energy-choice-alert" TargetMode="External"/><Relationship Id="rId18" Type="http://schemas.openxmlformats.org/officeDocument/2006/relationships/hyperlink" Target="https://digital.superlawyers.com/superlawyers/mxslrs16?pg=6&amp;pg6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 R. Reaser - Fennemore</dc:title>
  <dcterms:created xsi:type="dcterms:W3CDTF">2026-09-09T17:26:29Z</dcterms:created>
  <dcterms:modified xsi:type="dcterms:W3CDTF">2026-09-09T17:26:29Z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