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5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823970"/>
                <wp:effectExtent l="0" t="0" r="0" b="507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823970"/>
                          <a:chExt cx="6071870" cy="3823970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Woman applying for visa in US immigration offic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6071591" cy="2469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268700"/>
                            <a:ext cx="6071870" cy="247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70150">
                                <a:moveTo>
                                  <a:pt x="6071591" y="2469975"/>
                                </a:moveTo>
                                <a:lnTo>
                                  <a:pt x="0" y="2469975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2469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>
                              <a:alpha val="8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2738675"/>
                            <a:ext cx="6071870" cy="1085215"/>
                          </a:xfrm>
                          <a:prstGeom prst="rect">
                            <a:avLst/>
                          </a:prstGeom>
                          <a:solidFill>
                            <a:srgbClr val="002E6D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color w:val="00000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color w:val="00000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100"/>
                                <w:rPr>
                                  <w:rFonts w:ascii="Times New Roman"/>
                                  <w:color w:val="00000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348" w:lineRule="auto" w:before="1"/>
                                <w:ind w:left="3348" w:right="488" w:hanging="1987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Navigating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complexities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U.S.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immigration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law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client-focused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approach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rooted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in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experience, integrity, and compassion.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96609" y="1761205"/>
                            <a:ext cx="429133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Leading</w:t>
                              </w:r>
                              <w:r>
                                <w:rPr>
                                  <w:color w:val="FFFFFF"/>
                                  <w:spacing w:val="2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2"/>
                                </w:rPr>
                                <w:t>Immigration</w:t>
                              </w:r>
                              <w:r>
                                <w:rPr>
                                  <w:color w:val="FFFFFF"/>
                                  <w:spacing w:val="2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2"/>
                                </w:rPr>
                                <w:t>Advocacy</w:t>
                              </w:r>
                              <w:r>
                                <w:rPr>
                                  <w:color w:val="FFFFFF"/>
                                  <w:spacing w:val="2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2"/>
                                </w:rPr>
                                <w:t>Across</w:t>
                              </w:r>
                              <w:r>
                                <w:rPr>
                                  <w:color w:val="FFFFFF"/>
                                  <w:spacing w:val="2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2"/>
                                </w:rPr>
                                <w:t>Industries</w:t>
                              </w:r>
                              <w:r>
                                <w:rPr>
                                  <w:color w:val="FFFFFF"/>
                                  <w:spacing w:val="2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2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2"/>
                                </w:rPr>
                                <w:t>Borders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253917" y="1056230"/>
                            <a:ext cx="1576705" cy="326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1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4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2"/>
                                </w:rPr>
                                <w:t>Immigration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301.1pt;mso-position-horizontal-relative:char;mso-position-vertical-relative:line" id="docshapegroup1" coordorigin="0,0" coordsize="9562,6022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9562;height:3890" type="#_x0000_t75" id="docshape3" alt="Woman applying for visa in US immigration office" stroked="false">
                  <v:imagedata r:id="rId7" o:title=""/>
                </v:shape>
                <v:rect style="position:absolute;left:0;top:423;width:9562;height:3890" id="docshape4" filled="true" fillcolor="#262424" stroked="false">
                  <v:fill opacity="53713f"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4312;width:9562;height:1709" type="#_x0000_t202" id="docshape5" filled="true" fillcolor="#002e6d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color w:val="000000"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color w:val="000000"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100"/>
                          <w:rPr>
                            <w:rFonts w:ascii="Times New Roman"/>
                            <w:color w:val="000000"/>
                            <w:sz w:val="16"/>
                          </w:rPr>
                        </w:pPr>
                      </w:p>
                      <w:p>
                        <w:pPr>
                          <w:spacing w:line="348" w:lineRule="auto" w:before="1"/>
                          <w:ind w:left="3348" w:right="488" w:hanging="1987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Navigating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complexities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U.S.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immigration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law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client-focused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approach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rooted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in </w:t>
                        </w:r>
                        <w:r>
                          <w:rPr>
                            <w:color w:val="FFFFFF"/>
                            <w:sz w:val="16"/>
                          </w:rPr>
                          <w:t>experience, integrity, and compassion.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411;top:2773;width:6758;height:280" type="#_x0000_t202" id="docshape6" filled="false" stroked="false">
                  <v:textbox inset="0,0,0,0">
                    <w:txbxContent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FFFFFF"/>
                            <w:sz w:val="22"/>
                          </w:rPr>
                          <w:t>Leading</w:t>
                        </w:r>
                        <w:r>
                          <w:rPr>
                            <w:color w:val="FFFFFF"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z w:val="22"/>
                          </w:rPr>
                          <w:t>Immigration</w:t>
                        </w:r>
                        <w:r>
                          <w:rPr>
                            <w:color w:val="FFFFFF"/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z w:val="22"/>
                          </w:rPr>
                          <w:t>Advocacy</w:t>
                        </w:r>
                        <w:r>
                          <w:rPr>
                            <w:color w:val="FFFFFF"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z w:val="22"/>
                          </w:rPr>
                          <w:t>Across</w:t>
                        </w:r>
                        <w:r>
                          <w:rPr>
                            <w:color w:val="FFFFFF"/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z w:val="22"/>
                          </w:rPr>
                          <w:t>Industries</w:t>
                        </w:r>
                        <w:r>
                          <w:rPr>
                            <w:color w:val="FFFFFF"/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z w:val="22"/>
                          </w:rPr>
                          <w:t>and</w:t>
                        </w:r>
                        <w:r>
                          <w:rPr>
                            <w:color w:val="FFFFFF"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2"/>
                          </w:rPr>
                          <w:t>Borders</w:t>
                        </w:r>
                      </w:p>
                    </w:txbxContent>
                  </v:textbox>
                  <w10:wrap type="none"/>
                </v:shape>
                <v:shape style="position:absolute;left:3549;top:1663;width:2483;height:514" type="#_x0000_t202" id="docshape7" filled="false" stroked="false">
                  <v:textbox inset="0,0,0,0">
                    <w:txbxContent>
                      <w:p>
                        <w:pPr>
                          <w:spacing w:line="512" w:lineRule="exact" w:before="0"/>
                          <w:ind w:left="0" w:right="0" w:firstLine="0"/>
                          <w:jc w:val="left"/>
                          <w:rPr>
                            <w:b/>
                            <w:sz w:val="42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42"/>
                          </w:rPr>
                          <w:t>Immigration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2"/>
      </w:pPr>
      <w:r>
        <w:rPr>
          <w:color w:val="002E6B"/>
          <w:spacing w:val="-2"/>
        </w:rPr>
        <w:t>LEADERSHIP</w:t>
      </w:r>
    </w:p>
    <w:p>
      <w:pPr>
        <w:pStyle w:val="BodyText"/>
        <w:spacing w:before="38"/>
        <w:ind w:left="0"/>
        <w:rPr>
          <w:b/>
          <w:sz w:val="20"/>
        </w:rPr>
      </w:pPr>
    </w:p>
    <w:p>
      <w:pPr>
        <w:spacing w:before="0"/>
        <w:ind w:left="5856" w:right="0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2791396</wp:posOffset>
            </wp:positionH>
            <wp:positionV relativeFrom="paragraph">
              <wp:posOffset>-21323</wp:posOffset>
            </wp:positionV>
            <wp:extent cx="1395174" cy="1395174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174" cy="139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spacing w:val="-2"/>
            <w:sz w:val="16"/>
          </w:rPr>
          <w:t>IMMIGRATION</w:t>
        </w:r>
      </w:hyperlink>
    </w:p>
    <w:p>
      <w:pPr>
        <w:pStyle w:val="BodyText"/>
        <w:spacing w:before="46"/>
        <w:ind w:left="0"/>
        <w:rPr>
          <w:sz w:val="16"/>
        </w:rPr>
      </w:pPr>
    </w:p>
    <w:p>
      <w:pPr>
        <w:spacing w:line="218" w:lineRule="auto" w:before="0"/>
        <w:ind w:left="5856" w:right="2911" w:firstLine="0"/>
        <w:jc w:val="left"/>
        <w:rPr>
          <w:sz w:val="16"/>
        </w:rPr>
      </w:pPr>
      <w:hyperlink r:id="rId10">
        <w:r>
          <w:rPr>
            <w:spacing w:val="-2"/>
            <w:sz w:val="16"/>
          </w:rPr>
          <w:t>CANNABIS</w:t>
        </w:r>
      </w:hyperlink>
      <w:r>
        <w:rPr>
          <w:spacing w:val="-2"/>
          <w:sz w:val="16"/>
        </w:rPr>
        <w:t> </w:t>
      </w:r>
      <w:hyperlink r:id="rId10">
        <w:r>
          <w:rPr>
            <w:spacing w:val="-2"/>
            <w:sz w:val="16"/>
          </w:rPr>
          <w:t>BUSINESS</w:t>
        </w:r>
      </w:hyperlink>
    </w:p>
    <w:p>
      <w:pPr>
        <w:pStyle w:val="BodyText"/>
        <w:spacing w:before="26"/>
        <w:ind w:left="0"/>
        <w:rPr>
          <w:sz w:val="16"/>
        </w:rPr>
      </w:pPr>
    </w:p>
    <w:p>
      <w:pPr>
        <w:spacing w:line="191" w:lineRule="exact" w:before="0"/>
        <w:ind w:left="5856" w:right="0" w:firstLine="0"/>
        <w:jc w:val="left"/>
        <w:rPr>
          <w:b/>
          <w:sz w:val="16"/>
        </w:rPr>
      </w:pPr>
      <w:hyperlink r:id="rId11">
        <w:r>
          <w:rPr>
            <w:b/>
            <w:sz w:val="16"/>
          </w:rPr>
          <w:t>Alycia</w:t>
        </w:r>
        <w:r>
          <w:rPr>
            <w:b/>
            <w:spacing w:val="4"/>
            <w:sz w:val="16"/>
          </w:rPr>
          <w:t> </w:t>
        </w:r>
        <w:r>
          <w:rPr>
            <w:b/>
            <w:spacing w:val="-4"/>
            <w:sz w:val="16"/>
          </w:rPr>
          <w:t>Moss</w:t>
        </w:r>
      </w:hyperlink>
    </w:p>
    <w:p>
      <w:pPr>
        <w:spacing w:line="142" w:lineRule="exact" w:before="0"/>
        <w:ind w:left="5856" w:right="0" w:firstLine="0"/>
        <w:jc w:val="left"/>
        <w:rPr>
          <w:sz w:val="12"/>
        </w:rPr>
      </w:pPr>
      <w:r>
        <w:rPr>
          <w:color w:val="6E6158"/>
          <w:spacing w:val="-4"/>
          <w:sz w:val="12"/>
        </w:rPr>
        <w:t>Chair</w:t>
      </w:r>
    </w:p>
    <w:p>
      <w:pPr>
        <w:spacing w:before="73"/>
        <w:ind w:left="5856" w:right="0" w:firstLine="0"/>
        <w:jc w:val="left"/>
        <w:rPr>
          <w:b/>
          <w:sz w:val="12"/>
        </w:rPr>
      </w:pPr>
      <w:hyperlink r:id="rId12">
        <w:r>
          <w:rPr>
            <w:b/>
            <w:sz w:val="12"/>
          </w:rPr>
          <w:t>Coeur</w:t>
        </w:r>
        <w:r>
          <w:rPr>
            <w:b/>
            <w:spacing w:val="3"/>
            <w:sz w:val="12"/>
          </w:rPr>
          <w:t> </w:t>
        </w:r>
        <w:r>
          <w:rPr>
            <w:b/>
            <w:spacing w:val="-2"/>
            <w:sz w:val="12"/>
          </w:rPr>
          <w:t>d'Alene</w:t>
        </w:r>
      </w:hyperlink>
    </w:p>
    <w:p>
      <w:pPr>
        <w:spacing w:before="15"/>
        <w:ind w:left="5856" w:right="0" w:firstLine="0"/>
        <w:jc w:val="left"/>
        <w:rPr>
          <w:sz w:val="12"/>
        </w:rPr>
      </w:pPr>
      <w:r>
        <w:rPr>
          <w:color w:val="6E6158"/>
          <w:sz w:val="12"/>
        </w:rPr>
        <w:t>PH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208.956.0135</w:t>
      </w:r>
    </w:p>
    <w:p>
      <w:pPr>
        <w:spacing w:line="266" w:lineRule="auto" w:before="8"/>
        <w:ind w:left="5856" w:right="2911" w:firstLine="0"/>
        <w:jc w:val="left"/>
        <w:rPr>
          <w:sz w:val="12"/>
        </w:rPr>
      </w:pPr>
      <w:r>
        <w:rPr>
          <w:color w:val="6E6158"/>
          <w:sz w:val="12"/>
        </w:rPr>
        <w:t>PH</w:t>
      </w:r>
      <w:r>
        <w:rPr>
          <w:color w:val="6E6158"/>
          <w:spacing w:val="-8"/>
          <w:sz w:val="12"/>
        </w:rPr>
        <w:t> </w:t>
      </w:r>
      <w:r>
        <w:rPr>
          <w:sz w:val="12"/>
        </w:rPr>
        <w:t>Idaho</w:t>
      </w:r>
      <w:r>
        <w:rPr>
          <w:spacing w:val="-8"/>
          <w:sz w:val="12"/>
        </w:rPr>
        <w:t> </w:t>
      </w:r>
      <w:r>
        <w:rPr>
          <w:sz w:val="12"/>
        </w:rPr>
        <w:t>Immigration:</w:t>
      </w:r>
      <w:r>
        <w:rPr>
          <w:spacing w:val="40"/>
          <w:sz w:val="12"/>
        </w:rPr>
        <w:t> </w:t>
      </w:r>
      <w:r>
        <w:rPr>
          <w:spacing w:val="-2"/>
          <w:sz w:val="12"/>
        </w:rPr>
        <w:t>208-956-0135</w:t>
      </w:r>
    </w:p>
    <w:p>
      <w:pPr>
        <w:spacing w:line="146" w:lineRule="exact" w:before="0"/>
        <w:ind w:left="5856" w:right="0" w:firstLine="0"/>
        <w:jc w:val="left"/>
        <w:rPr>
          <w:sz w:val="12"/>
        </w:rPr>
      </w:pPr>
      <w:r>
        <w:rPr>
          <w:spacing w:val="-2"/>
          <w:sz w:val="12"/>
        </w:rPr>
        <w:t>Washington</w:t>
      </w:r>
    </w:p>
    <w:p>
      <w:pPr>
        <w:spacing w:before="15"/>
        <w:ind w:left="5856" w:right="0" w:firstLine="0"/>
        <w:jc w:val="left"/>
        <w:rPr>
          <w:sz w:val="12"/>
        </w:rPr>
      </w:pPr>
      <w:r>
        <w:rPr>
          <w:sz w:val="12"/>
        </w:rPr>
        <w:t>Immigration:</w:t>
      </w:r>
      <w:r>
        <w:rPr>
          <w:spacing w:val="9"/>
          <w:sz w:val="12"/>
        </w:rPr>
        <w:t> </w:t>
      </w:r>
      <w:r>
        <w:rPr>
          <w:sz w:val="12"/>
        </w:rPr>
        <w:t>509-</w:t>
      </w:r>
      <w:r>
        <w:rPr>
          <w:spacing w:val="-4"/>
          <w:sz w:val="12"/>
        </w:rPr>
        <w:t>413-</w:t>
      </w:r>
    </w:p>
    <w:p>
      <w:pPr>
        <w:spacing w:before="16"/>
        <w:ind w:left="5856" w:right="0" w:firstLine="0"/>
        <w:jc w:val="left"/>
        <w:rPr>
          <w:sz w:val="12"/>
        </w:rPr>
      </w:pPr>
      <w:r>
        <w:rPr>
          <w:spacing w:val="-4"/>
          <w:sz w:val="12"/>
        </w:rPr>
        <w:t>1004</w:t>
      </w:r>
    </w:p>
    <w:p>
      <w:pPr>
        <w:spacing w:before="16"/>
        <w:ind w:left="5856" w:right="0" w:firstLine="0"/>
        <w:jc w:val="left"/>
        <w:rPr>
          <w:sz w:val="12"/>
        </w:rPr>
      </w:pPr>
      <w:r>
        <w:rPr>
          <w:color w:val="6E6158"/>
          <w:sz w:val="12"/>
        </w:rPr>
        <w:t>FX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208.956.0139</w:t>
      </w:r>
    </w:p>
    <w:p>
      <w:pPr>
        <w:spacing w:line="266" w:lineRule="auto" w:before="15"/>
        <w:ind w:left="5856" w:right="2911" w:firstLine="0"/>
        <w:jc w:val="left"/>
        <w:rPr>
          <w:sz w:val="12"/>
        </w:rPr>
      </w:pPr>
      <w:hyperlink r:id="rId13">
        <w:r>
          <w:rPr>
            <w:color w:val="002E6B"/>
            <w:spacing w:val="-2"/>
            <w:sz w:val="12"/>
            <w:u w:val="single" w:color="002E6B"/>
          </w:rPr>
          <w:t>amoss@fennemorela</w:t>
        </w:r>
      </w:hyperlink>
      <w:r>
        <w:rPr>
          <w:color w:val="002E6B"/>
          <w:spacing w:val="40"/>
          <w:sz w:val="12"/>
          <w:u w:val="none"/>
        </w:rPr>
        <w:t> </w:t>
      </w:r>
      <w:hyperlink r:id="rId13">
        <w:r>
          <w:rPr>
            <w:color w:val="002E6B"/>
            <w:spacing w:val="-2"/>
            <w:sz w:val="12"/>
            <w:u w:val="single" w:color="002E6B"/>
          </w:rPr>
          <w:t>w.com</w:t>
        </w:r>
      </w:hyperlink>
    </w:p>
    <w:p>
      <w:pPr>
        <w:pStyle w:val="BodyText"/>
        <w:spacing w:before="259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  <w:spacing w:val="-2"/>
        </w:rPr>
        <w:t>EXPERIENCE</w:t>
      </w:r>
    </w:p>
    <w:p>
      <w:pPr>
        <w:pStyle w:val="BodyText"/>
        <w:spacing w:line="292" w:lineRule="auto" w:before="146"/>
        <w:ind w:right="548"/>
      </w:pPr>
      <w:r>
        <w:rPr>
          <w:color w:val="6E6158"/>
        </w:rPr>
        <w:t>Fennemore’s Immigration Practice Group provides clients with immigration legal services </w:t>
      </w:r>
      <w:r>
        <w:rPr>
          <w:color w:val="6E6158"/>
        </w:rPr>
        <w:t>tailored</w:t>
      </w:r>
      <w:r>
        <w:rPr>
          <w:color w:val="6E6158"/>
          <w:spacing w:val="80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assist</w:t>
      </w:r>
      <w:r>
        <w:rPr>
          <w:color w:val="6E6158"/>
          <w:spacing w:val="32"/>
        </w:rPr>
        <w:t> </w:t>
      </w:r>
      <w:r>
        <w:rPr>
          <w:color w:val="6E6158"/>
        </w:rPr>
        <w:t>clients’</w:t>
      </w:r>
      <w:r>
        <w:rPr>
          <w:color w:val="6E6158"/>
          <w:spacing w:val="32"/>
        </w:rPr>
        <w:t> </w:t>
      </w:r>
      <w:r>
        <w:rPr>
          <w:color w:val="6E6158"/>
        </w:rPr>
        <w:t>goals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objectives.</w:t>
      </w:r>
      <w:r>
        <w:rPr>
          <w:color w:val="6E6158"/>
          <w:spacing w:val="32"/>
        </w:rPr>
        <w:t> </w:t>
      </w:r>
      <w:r>
        <w:rPr>
          <w:color w:val="6E6158"/>
        </w:rPr>
        <w:t>With</w:t>
      </w:r>
      <w:r>
        <w:rPr>
          <w:color w:val="6E6158"/>
          <w:spacing w:val="32"/>
        </w:rPr>
        <w:t> </w:t>
      </w:r>
      <w:r>
        <w:rPr>
          <w:color w:val="6E6158"/>
        </w:rPr>
        <w:t>a</w:t>
      </w:r>
      <w:r>
        <w:rPr>
          <w:color w:val="6E6158"/>
          <w:spacing w:val="32"/>
        </w:rPr>
        <w:t> </w:t>
      </w:r>
      <w:r>
        <w:rPr>
          <w:color w:val="6E6158"/>
        </w:rPr>
        <w:t>client-focused</w:t>
      </w:r>
      <w:r>
        <w:rPr>
          <w:color w:val="6E6158"/>
          <w:spacing w:val="32"/>
        </w:rPr>
        <w:t> </w:t>
      </w:r>
      <w:r>
        <w:rPr>
          <w:color w:val="6E6158"/>
        </w:rPr>
        <w:t>approach</w:t>
      </w:r>
      <w:r>
        <w:rPr>
          <w:color w:val="6E6158"/>
          <w:spacing w:val="32"/>
        </w:rPr>
        <w:t> </w:t>
      </w:r>
      <w:r>
        <w:rPr>
          <w:color w:val="6E6158"/>
        </w:rPr>
        <w:t>rooted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experience,</w:t>
      </w:r>
    </w:p>
    <w:p>
      <w:pPr>
        <w:pStyle w:val="BodyText"/>
        <w:spacing w:line="292" w:lineRule="auto" w:before="10"/>
        <w:ind w:right="622"/>
      </w:pPr>
      <w:r>
        <w:rPr>
          <w:color w:val="6E6158"/>
        </w:rPr>
        <w:t>integrity, and compassion, our team delivers thoughtful, tenacious advocacy at every stage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the process.</w:t>
      </w:r>
    </w:p>
    <w:p>
      <w:pPr>
        <w:pStyle w:val="BodyText"/>
        <w:spacing w:line="292" w:lineRule="auto" w:before="196"/>
        <w:ind w:right="622"/>
      </w:pPr>
      <w:r>
        <w:rPr>
          <w:color w:val="6E6158"/>
        </w:rPr>
        <w:t>From individual petitions to high-stakes business, compliance, and investor programs, our </w:t>
      </w:r>
      <w:r>
        <w:rPr>
          <w:color w:val="6E6158"/>
        </w:rPr>
        <w:t>team</w:t>
      </w:r>
      <w:r>
        <w:rPr>
          <w:color w:val="6E6158"/>
          <w:spacing w:val="40"/>
        </w:rPr>
        <w:t> </w:t>
      </w:r>
      <w:r>
        <w:rPr>
          <w:color w:val="6E6158"/>
        </w:rPr>
        <w:t>handles the full spectrum with precision and attention to detail.</w:t>
      </w:r>
    </w:p>
    <w:p>
      <w:pPr>
        <w:pStyle w:val="BodyText"/>
        <w:spacing w:before="205"/>
        <w:jc w:val="both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business</w:t>
      </w:r>
      <w:r>
        <w:rPr>
          <w:color w:val="6E6158"/>
          <w:spacing w:val="10"/>
        </w:rPr>
        <w:t> </w:t>
      </w:r>
      <w:r>
        <w:rPr>
          <w:color w:val="6E6158"/>
        </w:rPr>
        <w:t>immigration</w:t>
      </w:r>
      <w:r>
        <w:rPr>
          <w:color w:val="6E6158"/>
          <w:spacing w:val="11"/>
        </w:rPr>
        <w:t> </w:t>
      </w:r>
      <w:r>
        <w:rPr>
          <w:color w:val="6E6158"/>
        </w:rPr>
        <w:t>is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period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structural</w:t>
      </w:r>
      <w:r>
        <w:rPr>
          <w:color w:val="6E6158"/>
          <w:spacing w:val="11"/>
        </w:rPr>
        <w:t> </w:t>
      </w:r>
      <w:r>
        <w:rPr>
          <w:color w:val="6E6158"/>
        </w:rPr>
        <w:t>change,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Fennemore</w:t>
      </w:r>
      <w:r>
        <w:rPr>
          <w:color w:val="6E6158"/>
          <w:spacing w:val="11"/>
        </w:rPr>
        <w:t> </w:t>
      </w:r>
      <w:r>
        <w:rPr>
          <w:color w:val="6E6158"/>
        </w:rPr>
        <w:t>is</w:t>
      </w:r>
      <w:r>
        <w:rPr>
          <w:color w:val="6E6158"/>
          <w:spacing w:val="10"/>
        </w:rPr>
        <w:t> </w:t>
      </w:r>
      <w:r>
        <w:rPr>
          <w:color w:val="6E6158"/>
        </w:rPr>
        <w:t>here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guide</w:t>
      </w:r>
    </w:p>
    <w:p>
      <w:pPr>
        <w:pStyle w:val="BodyText"/>
        <w:spacing w:line="292" w:lineRule="auto" w:before="52"/>
        <w:ind w:right="591"/>
        <w:jc w:val="both"/>
      </w:pPr>
      <w:r>
        <w:rPr>
          <w:color w:val="6E6158"/>
        </w:rPr>
        <w:t>businesses, employers, institutions, and investors through the complexities of employment-</w:t>
      </w:r>
      <w:r>
        <w:rPr>
          <w:color w:val="6E6158"/>
        </w:rPr>
        <w:t>based immigration law. Our team is constantly bringing together thought leadership, practical insights, and forward-looking commentary. You can view the latest immigration news </w:t>
      </w:r>
      <w:hyperlink r:id="rId14">
        <w:r>
          <w:rPr>
            <w:color w:val="F5821F"/>
          </w:rPr>
          <w:t>here</w:t>
        </w:r>
      </w:hyperlink>
      <w:r>
        <w:rPr>
          <w:color w:val="6E6158"/>
        </w:rPr>
        <w:t>.</w:t>
      </w:r>
    </w:p>
    <w:p>
      <w:pPr>
        <w:pStyle w:val="Heading1"/>
        <w:spacing w:before="171"/>
      </w:pPr>
      <w:r>
        <w:rPr>
          <w:color w:val="FF8100"/>
        </w:rPr>
        <w:t>FOR</w:t>
      </w:r>
      <w:r>
        <w:rPr>
          <w:color w:val="FF8100"/>
          <w:spacing w:val="9"/>
        </w:rPr>
        <w:t> </w:t>
      </w:r>
      <w:r>
        <w:rPr>
          <w:color w:val="FF8100"/>
        </w:rPr>
        <w:t>BUSINESSES,</w:t>
      </w:r>
      <w:r>
        <w:rPr>
          <w:color w:val="FF8100"/>
          <w:spacing w:val="9"/>
        </w:rPr>
        <w:t> </w:t>
      </w:r>
      <w:r>
        <w:rPr>
          <w:color w:val="FF8100"/>
        </w:rPr>
        <w:t>EMPLOYERS</w:t>
      </w:r>
      <w:r>
        <w:rPr>
          <w:color w:val="FF8100"/>
          <w:spacing w:val="9"/>
        </w:rPr>
        <w:t> </w:t>
      </w:r>
      <w:r>
        <w:rPr>
          <w:color w:val="FF8100"/>
        </w:rPr>
        <w:t>&amp;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INSTITUTIONS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080" w:right="1080"/>
        </w:sectPr>
      </w:pPr>
    </w:p>
    <w:p>
      <w:pPr>
        <w:pStyle w:val="BodyText"/>
        <w:spacing w:before="83"/>
      </w:pPr>
      <w:r>
        <w:rPr>
          <w:color w:val="6E6158"/>
        </w:rPr>
        <w:t>Temporary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permanent</w:t>
      </w:r>
      <w:r>
        <w:rPr>
          <w:color w:val="6E6158"/>
          <w:spacing w:val="17"/>
        </w:rPr>
        <w:t> </w:t>
      </w:r>
      <w:r>
        <w:rPr>
          <w:color w:val="6E6158"/>
        </w:rPr>
        <w:t>employment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visas</w:t>
      </w:r>
    </w:p>
    <w:p>
      <w:pPr>
        <w:pStyle w:val="BodyText"/>
        <w:spacing w:before="174"/>
      </w:pPr>
      <w:r>
        <w:rPr>
          <w:color w:val="6E6158"/>
        </w:rPr>
        <w:t>Employment-based</w:t>
      </w:r>
      <w:r>
        <w:rPr>
          <w:color w:val="6E6158"/>
          <w:spacing w:val="18"/>
        </w:rPr>
        <w:t> </w:t>
      </w:r>
      <w:r>
        <w:rPr>
          <w:color w:val="6E6158"/>
        </w:rPr>
        <w:t>immigrant</w:t>
      </w:r>
      <w:r>
        <w:rPr>
          <w:color w:val="6E6158"/>
          <w:spacing w:val="18"/>
        </w:rPr>
        <w:t> </w:t>
      </w:r>
      <w:r>
        <w:rPr>
          <w:color w:val="6E6158"/>
        </w:rPr>
        <w:t>petitions</w:t>
      </w:r>
      <w:r>
        <w:rPr>
          <w:color w:val="6E6158"/>
          <w:spacing w:val="18"/>
        </w:rPr>
        <w:t> </w:t>
      </w:r>
      <w:r>
        <w:rPr>
          <w:color w:val="6E6158"/>
        </w:rPr>
        <w:t>(EB-1,</w:t>
      </w:r>
      <w:r>
        <w:rPr>
          <w:color w:val="6E6158"/>
          <w:spacing w:val="18"/>
        </w:rPr>
        <w:t> </w:t>
      </w:r>
      <w:r>
        <w:rPr>
          <w:color w:val="6E6158"/>
        </w:rPr>
        <w:t>EB-2,</w:t>
      </w:r>
      <w:r>
        <w:rPr>
          <w:color w:val="6E6158"/>
          <w:spacing w:val="18"/>
        </w:rPr>
        <w:t> </w:t>
      </w:r>
      <w:r>
        <w:rPr>
          <w:color w:val="6E6158"/>
        </w:rPr>
        <w:t>EB-3,</w:t>
      </w:r>
      <w:r>
        <w:rPr>
          <w:color w:val="6E6158"/>
          <w:spacing w:val="18"/>
        </w:rPr>
        <w:t> </w:t>
      </w:r>
      <w:r>
        <w:rPr>
          <w:color w:val="6E6158"/>
        </w:rPr>
        <w:t>EB-</w:t>
      </w:r>
      <w:r>
        <w:rPr>
          <w:color w:val="6E6158"/>
          <w:spacing w:val="-5"/>
        </w:rPr>
        <w:t>4)</w:t>
      </w:r>
    </w:p>
    <w:p>
      <w:pPr>
        <w:pStyle w:val="BodyText"/>
        <w:spacing w:before="182"/>
      </w:pPr>
      <w:r>
        <w:rPr>
          <w:color w:val="6E6158"/>
        </w:rPr>
        <w:t>Employment-based</w:t>
      </w:r>
      <w:r>
        <w:rPr>
          <w:color w:val="6E6158"/>
          <w:spacing w:val="10"/>
        </w:rPr>
        <w:t> </w:t>
      </w:r>
      <w:r>
        <w:rPr>
          <w:color w:val="6E6158"/>
        </w:rPr>
        <w:t>temporary</w:t>
      </w:r>
      <w:r>
        <w:rPr>
          <w:color w:val="6E6158"/>
          <w:spacing w:val="10"/>
        </w:rPr>
        <w:t> </w:t>
      </w:r>
      <w:r>
        <w:rPr>
          <w:color w:val="6E6158"/>
        </w:rPr>
        <w:t>petitions</w:t>
      </w:r>
      <w:r>
        <w:rPr>
          <w:color w:val="6E6158"/>
          <w:spacing w:val="10"/>
        </w:rPr>
        <w:t> </w:t>
      </w:r>
      <w:r>
        <w:rPr>
          <w:color w:val="6E6158"/>
        </w:rPr>
        <w:t>(H-1B,</w:t>
      </w:r>
      <w:r>
        <w:rPr>
          <w:color w:val="6E6158"/>
          <w:spacing w:val="11"/>
        </w:rPr>
        <w:t> </w:t>
      </w:r>
      <w:r>
        <w:rPr>
          <w:color w:val="6E6158"/>
        </w:rPr>
        <w:t>L-1,</w:t>
      </w:r>
      <w:r>
        <w:rPr>
          <w:color w:val="6E6158"/>
          <w:spacing w:val="10"/>
        </w:rPr>
        <w:t> </w:t>
      </w:r>
      <w:r>
        <w:rPr>
          <w:color w:val="6E6158"/>
        </w:rPr>
        <w:t>TN,</w:t>
      </w:r>
      <w:r>
        <w:rPr>
          <w:color w:val="6E6158"/>
          <w:spacing w:val="10"/>
        </w:rPr>
        <w:t> </w:t>
      </w:r>
      <w:r>
        <w:rPr>
          <w:color w:val="6E6158"/>
        </w:rPr>
        <w:t>O,</w:t>
      </w:r>
      <w:r>
        <w:rPr>
          <w:color w:val="6E6158"/>
          <w:spacing w:val="10"/>
        </w:rPr>
        <w:t> </w:t>
      </w:r>
      <w:r>
        <w:rPr>
          <w:color w:val="6E6158"/>
        </w:rPr>
        <w:t>P,</w:t>
      </w:r>
      <w:r>
        <w:rPr>
          <w:color w:val="6E6158"/>
          <w:spacing w:val="11"/>
        </w:rPr>
        <w:t> </w:t>
      </w:r>
      <w:r>
        <w:rPr>
          <w:color w:val="6E6158"/>
        </w:rPr>
        <w:t>H-2B,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more)</w:t>
      </w:r>
    </w:p>
    <w:p>
      <w:pPr>
        <w:pStyle w:val="BodyText"/>
        <w:spacing w:before="174"/>
      </w:pPr>
      <w:r>
        <w:rPr>
          <w:color w:val="6E6158"/>
        </w:rPr>
        <w:t>Immigration</w:t>
      </w:r>
      <w:r>
        <w:rPr>
          <w:color w:val="6E6158"/>
          <w:spacing w:val="14"/>
        </w:rPr>
        <w:t> </w:t>
      </w:r>
      <w:r>
        <w:rPr>
          <w:color w:val="6E6158"/>
        </w:rPr>
        <w:t>compliance</w:t>
      </w:r>
      <w:r>
        <w:rPr>
          <w:color w:val="6E6158"/>
          <w:spacing w:val="15"/>
        </w:rPr>
        <w:t> </w:t>
      </w:r>
      <w:r>
        <w:rPr>
          <w:color w:val="6E6158"/>
        </w:rPr>
        <w:t>training</w:t>
      </w:r>
      <w:r>
        <w:rPr>
          <w:color w:val="6E6158"/>
          <w:spacing w:val="14"/>
        </w:rPr>
        <w:t> </w:t>
      </w:r>
      <w:r>
        <w:rPr>
          <w:color w:val="6E6158"/>
        </w:rPr>
        <w:t>(e.g.</w:t>
      </w:r>
      <w:r>
        <w:rPr>
          <w:color w:val="6E6158"/>
          <w:spacing w:val="15"/>
        </w:rPr>
        <w:t> </w:t>
      </w:r>
      <w:r>
        <w:rPr>
          <w:color w:val="6E6158"/>
        </w:rPr>
        <w:t>I</w:t>
      </w:r>
      <w:r>
        <w:rPr>
          <w:rFonts w:ascii="Arimo"/>
          <w:color w:val="6E6158"/>
        </w:rPr>
        <w:t>-</w:t>
      </w:r>
      <w:r>
        <w:rPr>
          <w:color w:val="6E6158"/>
        </w:rPr>
        <w:t>9</w:t>
      </w:r>
      <w:r>
        <w:rPr>
          <w:color w:val="6E6158"/>
          <w:spacing w:val="15"/>
        </w:rPr>
        <w:t> </w:t>
      </w:r>
      <w:r>
        <w:rPr>
          <w:color w:val="6E6158"/>
        </w:rPr>
        <w:t>audits),</w:t>
      </w:r>
      <w:r>
        <w:rPr>
          <w:color w:val="6E6158"/>
          <w:spacing w:val="14"/>
        </w:rPr>
        <w:t> </w:t>
      </w:r>
      <w:r>
        <w:rPr>
          <w:color w:val="6E6158"/>
        </w:rPr>
        <w:t>enforcement</w:t>
      </w:r>
      <w:r>
        <w:rPr>
          <w:color w:val="6E6158"/>
          <w:spacing w:val="15"/>
        </w:rPr>
        <w:t> </w:t>
      </w:r>
      <w:r>
        <w:rPr>
          <w:color w:val="6E6158"/>
        </w:rPr>
        <w:t>defense,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HR</w:t>
      </w:r>
      <w:r>
        <w:rPr>
          <w:color w:val="6E6158"/>
          <w:spacing w:val="15"/>
        </w:rPr>
        <w:t> </w:t>
      </w:r>
      <w:r>
        <w:rPr>
          <w:color w:val="6E6158"/>
        </w:rPr>
        <w:t>advisory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services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FOR</w:t>
      </w:r>
      <w:r>
        <w:rPr>
          <w:color w:val="FF8100"/>
          <w:spacing w:val="7"/>
        </w:rPr>
        <w:t> </w:t>
      </w:r>
      <w:r>
        <w:rPr>
          <w:color w:val="FF8100"/>
        </w:rPr>
        <w:t>INVESTORS</w:t>
      </w:r>
      <w:r>
        <w:rPr>
          <w:color w:val="FF8100"/>
          <w:spacing w:val="7"/>
        </w:rPr>
        <w:t> </w:t>
      </w:r>
      <w:r>
        <w:rPr>
          <w:color w:val="FF8100"/>
        </w:rPr>
        <w:t>&amp;</w:t>
      </w:r>
      <w:r>
        <w:rPr>
          <w:color w:val="FF8100"/>
          <w:spacing w:val="7"/>
        </w:rPr>
        <w:t> </w:t>
      </w:r>
      <w:r>
        <w:rPr>
          <w:color w:val="FF8100"/>
          <w:spacing w:val="-2"/>
        </w:rPr>
        <w:t>ENTREPRENEURS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Investor-based</w:t>
      </w:r>
      <w:r>
        <w:rPr>
          <w:color w:val="6E6158"/>
          <w:spacing w:val="16"/>
        </w:rPr>
        <w:t> </w:t>
      </w:r>
      <w:r>
        <w:rPr>
          <w:color w:val="6E6158"/>
        </w:rPr>
        <w:t>visas</w:t>
      </w:r>
      <w:r>
        <w:rPr>
          <w:color w:val="6E6158"/>
          <w:spacing w:val="17"/>
        </w:rPr>
        <w:t> </w:t>
      </w:r>
      <w:r>
        <w:rPr>
          <w:color w:val="6E6158"/>
        </w:rPr>
        <w:t>(EB</w:t>
      </w:r>
      <w:r>
        <w:rPr>
          <w:rFonts w:ascii="Arimo"/>
          <w:color w:val="6E6158"/>
        </w:rPr>
        <w:t>-</w:t>
      </w:r>
      <w:r>
        <w:rPr>
          <w:color w:val="6E6158"/>
        </w:rPr>
        <w:t>5,</w:t>
      </w:r>
      <w:r>
        <w:rPr>
          <w:color w:val="6E6158"/>
          <w:spacing w:val="16"/>
        </w:rPr>
        <w:t> </w:t>
      </w:r>
      <w:r>
        <w:rPr>
          <w:color w:val="6E6158"/>
        </w:rPr>
        <w:t>E</w:t>
      </w:r>
      <w:r>
        <w:rPr>
          <w:rFonts w:ascii="Arimo"/>
          <w:color w:val="6E6158"/>
        </w:rPr>
        <w:t>-</w:t>
      </w:r>
      <w:r>
        <w:rPr>
          <w:color w:val="6E6158"/>
        </w:rPr>
        <w:t>2,</w:t>
      </w:r>
      <w:r>
        <w:rPr>
          <w:color w:val="6E6158"/>
          <w:spacing w:val="17"/>
        </w:rPr>
        <w:t> </w:t>
      </w:r>
      <w:r>
        <w:rPr>
          <w:color w:val="6E6158"/>
        </w:rPr>
        <w:t>Entrepreneurial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Parole)</w:t>
      </w:r>
    </w:p>
    <w:p>
      <w:pPr>
        <w:pStyle w:val="BodyText"/>
        <w:spacing w:before="174"/>
      </w:pPr>
      <w:r>
        <w:rPr>
          <w:color w:val="6E6158"/>
        </w:rPr>
        <w:t>Business-related</w:t>
      </w:r>
      <w:r>
        <w:rPr>
          <w:color w:val="6E6158"/>
          <w:spacing w:val="19"/>
        </w:rPr>
        <w:t> </w:t>
      </w:r>
      <w:r>
        <w:rPr>
          <w:color w:val="6E6158"/>
        </w:rPr>
        <w:t>immigration</w:t>
      </w:r>
      <w:r>
        <w:rPr>
          <w:color w:val="6E6158"/>
          <w:spacing w:val="19"/>
        </w:rPr>
        <w:t> </w:t>
      </w:r>
      <w:r>
        <w:rPr>
          <w:color w:val="6E6158"/>
        </w:rPr>
        <w:t>planning</w:t>
      </w:r>
      <w:r>
        <w:rPr>
          <w:color w:val="6E6158"/>
          <w:spacing w:val="19"/>
        </w:rPr>
        <w:t> </w:t>
      </w:r>
      <w:r>
        <w:rPr>
          <w:color w:val="6E6158"/>
        </w:rPr>
        <w:t>for</w:t>
      </w:r>
      <w:r>
        <w:rPr>
          <w:color w:val="6E6158"/>
          <w:spacing w:val="20"/>
        </w:rPr>
        <w:t> </w:t>
      </w:r>
      <w:r>
        <w:rPr>
          <w:color w:val="6E6158"/>
        </w:rPr>
        <w:t>long-term</w:t>
      </w:r>
      <w:r>
        <w:rPr>
          <w:color w:val="6E6158"/>
          <w:spacing w:val="19"/>
        </w:rPr>
        <w:t> </w:t>
      </w:r>
      <w:r>
        <w:rPr>
          <w:color w:val="6E6158"/>
        </w:rPr>
        <w:t>strategic</w:t>
      </w:r>
      <w:r>
        <w:rPr>
          <w:color w:val="6E6158"/>
          <w:spacing w:val="19"/>
        </w:rPr>
        <w:t> </w:t>
      </w:r>
      <w:r>
        <w:rPr>
          <w:color w:val="6E6158"/>
          <w:spacing w:val="-2"/>
        </w:rPr>
        <w:t>growth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FOR</w:t>
      </w:r>
      <w:r>
        <w:rPr>
          <w:color w:val="FF8100"/>
          <w:spacing w:val="7"/>
        </w:rPr>
        <w:t> </w:t>
      </w:r>
      <w:r>
        <w:rPr>
          <w:color w:val="FF8100"/>
        </w:rPr>
        <w:t>INDIVIDUALS</w:t>
      </w:r>
      <w:r>
        <w:rPr>
          <w:color w:val="FF8100"/>
          <w:spacing w:val="8"/>
        </w:rPr>
        <w:t> </w:t>
      </w:r>
      <w:r>
        <w:rPr>
          <w:color w:val="FF8100"/>
        </w:rPr>
        <w:t>&amp;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FAMILIES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4487"/>
      </w:pPr>
      <w:r>
        <w:rPr>
          <w:color w:val="6E6158"/>
        </w:rPr>
        <w:t>Family- and employer-sponsored green </w:t>
      </w:r>
      <w:r>
        <w:rPr>
          <w:color w:val="6E6158"/>
        </w:rPr>
        <w:t>cards Citizenship &amp; naturalization</w:t>
      </w:r>
    </w:p>
    <w:p>
      <w:pPr>
        <w:pStyle w:val="BodyText"/>
        <w:spacing w:line="231" w:lineRule="exact"/>
      </w:pPr>
      <w:r>
        <w:rPr>
          <w:color w:val="6E6158"/>
        </w:rPr>
        <w:t>Student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exchange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visas</w:t>
      </w:r>
    </w:p>
    <w:p>
      <w:pPr>
        <w:pStyle w:val="BodyText"/>
        <w:spacing w:before="183"/>
      </w:pPr>
      <w:r>
        <w:rPr>
          <w:color w:val="6E6158"/>
        </w:rPr>
        <w:t>Work,</w:t>
      </w:r>
      <w:r>
        <w:rPr>
          <w:color w:val="6E6158"/>
          <w:spacing w:val="10"/>
        </w:rPr>
        <w:t> </w:t>
      </w:r>
      <w:r>
        <w:rPr>
          <w:color w:val="6E6158"/>
        </w:rPr>
        <w:t>tourist,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temporary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visas</w:t>
      </w:r>
    </w:p>
    <w:p>
      <w:pPr>
        <w:pStyle w:val="BodyText"/>
        <w:spacing w:before="173"/>
      </w:pPr>
      <w:r>
        <w:rPr>
          <w:color w:val="6E6158"/>
        </w:rPr>
        <w:t>Asylum,</w:t>
      </w:r>
      <w:r>
        <w:rPr>
          <w:color w:val="6E6158"/>
          <w:spacing w:val="15"/>
        </w:rPr>
        <w:t> </w:t>
      </w:r>
      <w:r>
        <w:rPr>
          <w:color w:val="6E6158"/>
        </w:rPr>
        <w:t>DACA,</w:t>
      </w:r>
      <w:r>
        <w:rPr>
          <w:color w:val="6E6158"/>
          <w:spacing w:val="16"/>
        </w:rPr>
        <w:t> </w:t>
      </w:r>
      <w:r>
        <w:rPr>
          <w:color w:val="6E6158"/>
        </w:rPr>
        <w:t>SIJS,</w:t>
      </w:r>
      <w:r>
        <w:rPr>
          <w:color w:val="6E6158"/>
          <w:spacing w:val="16"/>
        </w:rPr>
        <w:t> </w:t>
      </w:r>
      <w:r>
        <w:rPr>
          <w:color w:val="6E6158"/>
        </w:rPr>
        <w:t>humanitarian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parole</w:t>
      </w:r>
    </w:p>
    <w:p>
      <w:pPr>
        <w:pStyle w:val="BodyText"/>
        <w:spacing w:before="174"/>
      </w:pPr>
      <w:r>
        <w:rPr>
          <w:color w:val="6E6158"/>
        </w:rPr>
        <w:t>Victim-based</w:t>
      </w:r>
      <w:r>
        <w:rPr>
          <w:color w:val="6E6158"/>
          <w:spacing w:val="15"/>
        </w:rPr>
        <w:t> </w:t>
      </w:r>
      <w:r>
        <w:rPr>
          <w:color w:val="6E6158"/>
        </w:rPr>
        <w:t>protections</w:t>
      </w:r>
      <w:r>
        <w:rPr>
          <w:color w:val="6E6158"/>
          <w:spacing w:val="15"/>
        </w:rPr>
        <w:t> </w:t>
      </w:r>
      <w:r>
        <w:rPr>
          <w:color w:val="6E6158"/>
        </w:rPr>
        <w:t>(U/T</w:t>
      </w:r>
      <w:r>
        <w:rPr>
          <w:color w:val="6E6158"/>
          <w:spacing w:val="16"/>
        </w:rPr>
        <w:t> </w:t>
      </w:r>
      <w:r>
        <w:rPr>
          <w:color w:val="6E6158"/>
        </w:rPr>
        <w:t>visas),</w:t>
      </w:r>
      <w:r>
        <w:rPr>
          <w:color w:val="6E6158"/>
          <w:spacing w:val="15"/>
        </w:rPr>
        <w:t> </w:t>
      </w:r>
      <w:r>
        <w:rPr>
          <w:color w:val="6E6158"/>
        </w:rPr>
        <w:t>waivers,</w:t>
      </w:r>
      <w:r>
        <w:rPr>
          <w:color w:val="6E6158"/>
          <w:spacing w:val="15"/>
        </w:rPr>
        <w:t> </w:t>
      </w:r>
      <w:r>
        <w:rPr>
          <w:color w:val="6E6158"/>
        </w:rPr>
        <w:t>appeals,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removal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defense</w:t>
      </w:r>
    </w:p>
    <w:p>
      <w:pPr>
        <w:pStyle w:val="BodyText"/>
        <w:ind w:left="0"/>
      </w:pPr>
    </w:p>
    <w:p>
      <w:pPr>
        <w:pStyle w:val="BodyText"/>
        <w:spacing w:before="74"/>
        <w:ind w:left="0"/>
      </w:pPr>
    </w:p>
    <w:p>
      <w:pPr>
        <w:pStyle w:val="BodyText"/>
        <w:spacing w:before="1"/>
      </w:pPr>
      <w:r>
        <w:rPr>
          <w:color w:val="6E6158"/>
        </w:rPr>
        <w:t>Drawing</w:t>
      </w:r>
      <w:r>
        <w:rPr>
          <w:color w:val="6E6158"/>
          <w:spacing w:val="14"/>
        </w:rPr>
        <w:t> </w:t>
      </w:r>
      <w:r>
        <w:rPr>
          <w:color w:val="6E6158"/>
        </w:rPr>
        <w:t>on</w:t>
      </w:r>
      <w:r>
        <w:rPr>
          <w:color w:val="6E6158"/>
          <w:spacing w:val="14"/>
        </w:rPr>
        <w:t> </w:t>
      </w:r>
      <w:r>
        <w:rPr>
          <w:color w:val="6E6158"/>
        </w:rPr>
        <w:t>extensive</w:t>
      </w:r>
      <w:r>
        <w:rPr>
          <w:color w:val="6E6158"/>
          <w:spacing w:val="15"/>
        </w:rPr>
        <w:t> </w:t>
      </w:r>
      <w:r>
        <w:rPr>
          <w:color w:val="6E6158"/>
        </w:rPr>
        <w:t>regulatory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policy</w:t>
      </w:r>
      <w:r>
        <w:rPr>
          <w:color w:val="6E6158"/>
          <w:spacing w:val="15"/>
        </w:rPr>
        <w:t> </w:t>
      </w:r>
      <w:r>
        <w:rPr>
          <w:color w:val="6E6158"/>
        </w:rPr>
        <w:t>knowledge,</w:t>
      </w:r>
      <w:r>
        <w:rPr>
          <w:color w:val="6E6158"/>
          <w:spacing w:val="14"/>
        </w:rPr>
        <w:t> </w:t>
      </w:r>
      <w:r>
        <w:rPr>
          <w:color w:val="6E6158"/>
        </w:rPr>
        <w:t>we</w:t>
      </w:r>
      <w:r>
        <w:rPr>
          <w:color w:val="6E6158"/>
          <w:spacing w:val="15"/>
        </w:rPr>
        <w:t> </w:t>
      </w:r>
      <w:r>
        <w:rPr>
          <w:color w:val="6E6158"/>
        </w:rPr>
        <w:t>prepare</w:t>
      </w:r>
      <w:r>
        <w:rPr>
          <w:color w:val="6E6158"/>
          <w:spacing w:val="14"/>
        </w:rPr>
        <w:t> </w:t>
      </w:r>
      <w:r>
        <w:rPr>
          <w:color w:val="6E6158"/>
        </w:rPr>
        <w:t>robust</w:t>
      </w:r>
      <w:r>
        <w:rPr>
          <w:color w:val="6E6158"/>
          <w:spacing w:val="14"/>
        </w:rPr>
        <w:t> </w:t>
      </w:r>
      <w:r>
        <w:rPr>
          <w:color w:val="6E6158"/>
        </w:rPr>
        <w:t>applications</w:t>
      </w:r>
      <w:r>
        <w:rPr>
          <w:color w:val="6E6158"/>
          <w:spacing w:val="15"/>
        </w:rPr>
        <w:t> </w:t>
      </w:r>
      <w:r>
        <w:rPr>
          <w:color w:val="6E6158"/>
          <w:spacing w:val="-5"/>
        </w:rPr>
        <w:t>and</w:t>
      </w:r>
    </w:p>
    <w:p>
      <w:pPr>
        <w:pStyle w:val="BodyText"/>
        <w:spacing w:line="292" w:lineRule="auto" w:before="60"/>
        <w:ind w:right="622"/>
      </w:pPr>
      <w:r>
        <w:rPr>
          <w:color w:val="6E6158"/>
        </w:rPr>
        <w:t>petitions. We proactively address potential challenges, and if we encounter complications, </w:t>
      </w:r>
      <w:r>
        <w:rPr>
          <w:color w:val="6E6158"/>
        </w:rPr>
        <w:t>we</w:t>
      </w:r>
      <w:r>
        <w:rPr>
          <w:color w:val="6E6158"/>
          <w:spacing w:val="40"/>
        </w:rPr>
        <w:t> </w:t>
      </w:r>
      <w:r>
        <w:rPr>
          <w:color w:val="6E6158"/>
        </w:rPr>
        <w:t>respond</w:t>
      </w:r>
      <w:r>
        <w:rPr>
          <w:color w:val="6E6158"/>
          <w:spacing w:val="38"/>
        </w:rPr>
        <w:t> </w:t>
      </w:r>
      <w:r>
        <w:rPr>
          <w:color w:val="6E6158"/>
        </w:rPr>
        <w:t>with</w:t>
      </w:r>
      <w:r>
        <w:rPr>
          <w:color w:val="6E6158"/>
          <w:spacing w:val="38"/>
        </w:rPr>
        <w:t> </w:t>
      </w:r>
      <w:r>
        <w:rPr>
          <w:color w:val="6E6158"/>
        </w:rPr>
        <w:t>strategic,</w:t>
      </w:r>
      <w:r>
        <w:rPr>
          <w:color w:val="6E6158"/>
          <w:spacing w:val="38"/>
        </w:rPr>
        <w:t> </w:t>
      </w:r>
      <w:r>
        <w:rPr>
          <w:color w:val="6E6158"/>
        </w:rPr>
        <w:t>well-supported</w:t>
      </w:r>
      <w:r>
        <w:rPr>
          <w:color w:val="6E6158"/>
          <w:spacing w:val="38"/>
        </w:rPr>
        <w:t> </w:t>
      </w:r>
      <w:r>
        <w:rPr>
          <w:color w:val="6E6158"/>
        </w:rPr>
        <w:t>arguments</w:t>
      </w:r>
      <w:r>
        <w:rPr>
          <w:color w:val="6E6158"/>
          <w:spacing w:val="38"/>
        </w:rPr>
        <w:t> </w:t>
      </w:r>
      <w:r>
        <w:rPr>
          <w:color w:val="6E6158"/>
        </w:rPr>
        <w:t>to</w:t>
      </w:r>
      <w:r>
        <w:rPr>
          <w:color w:val="6E6158"/>
          <w:spacing w:val="38"/>
        </w:rPr>
        <w:t> </w:t>
      </w:r>
      <w:r>
        <w:rPr>
          <w:color w:val="6E6158"/>
        </w:rPr>
        <w:t>pursue</w:t>
      </w:r>
      <w:r>
        <w:rPr>
          <w:color w:val="6E6158"/>
          <w:spacing w:val="38"/>
        </w:rPr>
        <w:t> </w:t>
      </w:r>
      <w:r>
        <w:rPr>
          <w:color w:val="6E6158"/>
        </w:rPr>
        <w:t>approval</w:t>
      </w:r>
      <w:r>
        <w:rPr>
          <w:color w:val="6E6158"/>
          <w:spacing w:val="38"/>
        </w:rPr>
        <w:t> </w:t>
      </w:r>
      <w:r>
        <w:rPr>
          <w:color w:val="6E6158"/>
        </w:rPr>
        <w:t>or</w:t>
      </w:r>
      <w:r>
        <w:rPr>
          <w:color w:val="6E6158"/>
          <w:spacing w:val="38"/>
        </w:rPr>
        <w:t> </w:t>
      </w:r>
      <w:r>
        <w:rPr>
          <w:color w:val="6E6158"/>
        </w:rPr>
        <w:t>navigate</w:t>
      </w:r>
      <w:r>
        <w:rPr>
          <w:color w:val="6E6158"/>
          <w:spacing w:val="38"/>
        </w:rPr>
        <w:t> </w:t>
      </w:r>
      <w:r>
        <w:rPr>
          <w:color w:val="6E6158"/>
        </w:rPr>
        <w:t>appeals.</w:t>
      </w:r>
    </w:p>
    <w:p>
      <w:pPr>
        <w:pStyle w:val="BodyText"/>
        <w:spacing w:line="297" w:lineRule="auto" w:before="196"/>
        <w:ind w:right="1024"/>
        <w:jc w:val="both"/>
      </w:pPr>
      <w:r>
        <w:rPr>
          <w:color w:val="6E6158"/>
        </w:rPr>
        <w:t>Even after a denial, our commitment continues—representing clients in federal judicial and administrative appeals, motions to reconsider or reopen, and defending businesses </w:t>
      </w:r>
      <w:r>
        <w:rPr>
          <w:color w:val="6E6158"/>
        </w:rPr>
        <w:t>against worksite enforcement actions. We aim for resolution at every stage.</w:t>
      </w:r>
    </w:p>
    <w:p>
      <w:pPr>
        <w:pStyle w:val="BodyText"/>
        <w:spacing w:before="191"/>
      </w:pPr>
      <w:r>
        <w:rPr>
          <w:color w:val="6E6158"/>
        </w:rPr>
        <w:t>At</w:t>
      </w:r>
      <w:r>
        <w:rPr>
          <w:color w:val="6E6158"/>
          <w:spacing w:val="9"/>
        </w:rPr>
        <w:t> </w:t>
      </w:r>
      <w:r>
        <w:rPr>
          <w:color w:val="6E6158"/>
        </w:rPr>
        <w:t>every</w:t>
      </w:r>
      <w:r>
        <w:rPr>
          <w:color w:val="6E6158"/>
          <w:spacing w:val="9"/>
        </w:rPr>
        <w:t> </w:t>
      </w:r>
      <w:r>
        <w:rPr>
          <w:color w:val="6E6158"/>
        </w:rPr>
        <w:t>step,</w:t>
      </w:r>
      <w:r>
        <w:rPr>
          <w:color w:val="6E6158"/>
          <w:spacing w:val="9"/>
        </w:rPr>
        <w:t> </w:t>
      </w:r>
      <w:r>
        <w:rPr>
          <w:color w:val="6E6158"/>
        </w:rPr>
        <w:t>our</w:t>
      </w:r>
      <w:r>
        <w:rPr>
          <w:color w:val="6E6158"/>
          <w:spacing w:val="10"/>
        </w:rPr>
        <w:t> </w:t>
      </w:r>
      <w:r>
        <w:rPr>
          <w:color w:val="6E6158"/>
        </w:rPr>
        <w:t>goal</w:t>
      </w:r>
      <w:r>
        <w:rPr>
          <w:color w:val="6E6158"/>
          <w:spacing w:val="9"/>
        </w:rPr>
        <w:t> </w:t>
      </w:r>
      <w:r>
        <w:rPr>
          <w:color w:val="6E6158"/>
        </w:rPr>
        <w:t>is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</w:rPr>
        <w:t>deliver</w:t>
      </w:r>
      <w:r>
        <w:rPr>
          <w:color w:val="6E6158"/>
          <w:spacing w:val="9"/>
        </w:rPr>
        <w:t> </w:t>
      </w:r>
      <w:r>
        <w:rPr>
          <w:color w:val="6E6158"/>
        </w:rPr>
        <w:t>peace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mind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help</w:t>
      </w:r>
      <w:r>
        <w:rPr>
          <w:color w:val="6E6158"/>
          <w:spacing w:val="10"/>
        </w:rPr>
        <w:t> </w:t>
      </w:r>
      <w:r>
        <w:rPr>
          <w:color w:val="6E6158"/>
        </w:rPr>
        <w:t>our</w:t>
      </w:r>
      <w:r>
        <w:rPr>
          <w:color w:val="6E6158"/>
          <w:spacing w:val="9"/>
        </w:rPr>
        <w:t> </w:t>
      </w:r>
      <w:r>
        <w:rPr>
          <w:color w:val="6E6158"/>
        </w:rPr>
        <w:t>clients</w:t>
      </w:r>
      <w:r>
        <w:rPr>
          <w:color w:val="6E6158"/>
          <w:spacing w:val="9"/>
        </w:rPr>
        <w:t> </w:t>
      </w:r>
      <w:r>
        <w:rPr>
          <w:color w:val="6E6158"/>
        </w:rPr>
        <w:t>achieve</w:t>
      </w:r>
      <w:r>
        <w:rPr>
          <w:color w:val="6E6158"/>
          <w:spacing w:val="10"/>
        </w:rPr>
        <w:t> </w:t>
      </w:r>
      <w:r>
        <w:rPr>
          <w:color w:val="6E6158"/>
        </w:rPr>
        <w:t>lasting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results.</w:t>
      </w:r>
    </w:p>
    <w:sectPr>
      <w:pgSz w:w="12240" w:h="15840"/>
      <w:pgMar w:top="50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mo">
    <w:altName w:val="Arimo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5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5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3"/>
      <w:ind w:right="4"/>
      <w:jc w:val="center"/>
      <w:outlineLvl w:val="2"/>
    </w:pPr>
    <w:rPr>
      <w:rFonts w:ascii="Century Gothic" w:hAnsi="Century Gothic" w:eastAsia="Century Gothic" w:cs="Century Gothic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s://www.fennemorelaw.com/services/immigration/" TargetMode="External"/><Relationship Id="rId10" Type="http://schemas.openxmlformats.org/officeDocument/2006/relationships/hyperlink" Target="https://www.fennemorelaw.com/services/cannabis-business/" TargetMode="External"/><Relationship Id="rId11" Type="http://schemas.openxmlformats.org/officeDocument/2006/relationships/hyperlink" Target="https://www.fennemorelaw.com/people/attorneys/alycia-moss/" TargetMode="External"/><Relationship Id="rId12" Type="http://schemas.openxmlformats.org/officeDocument/2006/relationships/hyperlink" Target="https://www.fennemorelaw.com/contact-us/#coeur-dalene" TargetMode="External"/><Relationship Id="rId13" Type="http://schemas.openxmlformats.org/officeDocument/2006/relationships/hyperlink" Target="mailto:amoss@fennemorelaw.com" TargetMode="External"/><Relationship Id="rId14" Type="http://schemas.openxmlformats.org/officeDocument/2006/relationships/hyperlink" Target="https://www.fennemorelaw.com/immigration-landing-page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Immigration - Fennemore</dc:title>
  <dcterms:created xsi:type="dcterms:W3CDTF">2026-09-16T20:25:53Z</dcterms:created>
  <dcterms:modified xsi:type="dcterms:W3CDTF">2026-09-16T20:25:53Z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m152</vt:lpwstr>
  </property>
</Properties>
</file>