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ENNY ZHANG rev 2 1920x12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JENNY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ZHANG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ERISA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303.764.3711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303.291.3201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jzhang@fennemorelaw.com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JENNY ZHANG rev 2 1920x1280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JENNY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ZHANG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ERISA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303.764.3711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303.291.3201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jzhang@fennemorelaw.com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  <w:jc w:val="both"/>
      </w:pPr>
      <w:r>
        <w:rPr>
          <w:color w:val="FF8100"/>
        </w:rPr>
        <w:t>JENNY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ZHANG</w:t>
      </w:r>
    </w:p>
    <w:p>
      <w:pPr>
        <w:pStyle w:val="BodyText"/>
        <w:spacing w:line="297" w:lineRule="auto" w:before="147"/>
        <w:ind w:right="878"/>
        <w:jc w:val="both"/>
      </w:pPr>
      <w:r>
        <w:rPr>
          <w:color w:val="6E6158"/>
        </w:rPr>
        <w:t>Jenny Zhang is an employee benefits/ERISA attorney. She focuses her practice on employee benefits and executive compensation, and the overlap between those areas and tax, </w:t>
      </w:r>
      <w:r>
        <w:rPr>
          <w:color w:val="6E6158"/>
        </w:rPr>
        <w:t>labor, employment and corporate law.</w:t>
      </w:r>
    </w:p>
    <w:p>
      <w:pPr>
        <w:pStyle w:val="BodyText"/>
        <w:spacing w:before="191"/>
        <w:jc w:val="both"/>
      </w:pPr>
      <w:r>
        <w:rPr>
          <w:color w:val="6E6158"/>
        </w:rPr>
        <w:t>Jenny</w:t>
      </w:r>
      <w:r>
        <w:rPr>
          <w:color w:val="6E6158"/>
          <w:spacing w:val="13"/>
        </w:rPr>
        <w:t> </w:t>
      </w:r>
      <w:r>
        <w:rPr>
          <w:color w:val="6E6158"/>
        </w:rPr>
        <w:t>has</w:t>
      </w:r>
      <w:r>
        <w:rPr>
          <w:color w:val="6E6158"/>
          <w:spacing w:val="13"/>
        </w:rPr>
        <w:t> </w:t>
      </w:r>
      <w:r>
        <w:rPr>
          <w:color w:val="6E6158"/>
        </w:rPr>
        <w:t>extensive</w:t>
      </w:r>
      <w:r>
        <w:rPr>
          <w:color w:val="6E6158"/>
          <w:spacing w:val="13"/>
        </w:rPr>
        <w:t> </w:t>
      </w:r>
      <w:r>
        <w:rPr>
          <w:color w:val="6E6158"/>
        </w:rPr>
        <w:t>experience</w:t>
      </w:r>
      <w:r>
        <w:rPr>
          <w:color w:val="6E6158"/>
          <w:spacing w:val="13"/>
        </w:rPr>
        <w:t> </w:t>
      </w:r>
      <w:r>
        <w:rPr>
          <w:color w:val="6E6158"/>
        </w:rPr>
        <w:t>advising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following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areas: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/>
        <w:ind w:right="815"/>
      </w:pPr>
      <w:r>
        <w:rPr>
          <w:color w:val="6E6158"/>
        </w:rPr>
        <w:t>Plan</w:t>
      </w:r>
      <w:r>
        <w:rPr>
          <w:color w:val="6E6158"/>
          <w:spacing w:val="22"/>
        </w:rPr>
        <w:t> </w:t>
      </w:r>
      <w:r>
        <w:rPr>
          <w:color w:val="6E6158"/>
        </w:rPr>
        <w:t>design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implementation</w:t>
      </w:r>
      <w:r>
        <w:rPr>
          <w:color w:val="6E6158"/>
          <w:spacing w:val="22"/>
        </w:rPr>
        <w:t> </w:t>
      </w:r>
      <w:r>
        <w:rPr>
          <w:color w:val="6E6158"/>
        </w:rPr>
        <w:t>for</w:t>
      </w:r>
      <w:r>
        <w:rPr>
          <w:color w:val="6E6158"/>
          <w:spacing w:val="22"/>
        </w:rPr>
        <w:t> </w:t>
      </w:r>
      <w:r>
        <w:rPr>
          <w:color w:val="6E6158"/>
        </w:rPr>
        <w:t>retirement</w:t>
      </w:r>
      <w:r>
        <w:rPr>
          <w:color w:val="6E6158"/>
          <w:spacing w:val="22"/>
        </w:rPr>
        <w:t> </w:t>
      </w:r>
      <w:r>
        <w:rPr>
          <w:color w:val="6E6158"/>
        </w:rPr>
        <w:t>plans,</w:t>
      </w:r>
      <w:r>
        <w:rPr>
          <w:color w:val="6E6158"/>
          <w:spacing w:val="22"/>
        </w:rPr>
        <w:t> </w:t>
      </w:r>
      <w:r>
        <w:rPr>
          <w:color w:val="6E6158"/>
        </w:rPr>
        <w:t>welfare</w:t>
      </w:r>
      <w:r>
        <w:rPr>
          <w:color w:val="6E6158"/>
          <w:spacing w:val="22"/>
        </w:rPr>
        <w:t> </w:t>
      </w:r>
      <w:r>
        <w:rPr>
          <w:color w:val="6E6158"/>
        </w:rPr>
        <w:t>plans,</w:t>
      </w:r>
      <w:r>
        <w:rPr>
          <w:color w:val="6E6158"/>
          <w:spacing w:val="22"/>
        </w:rPr>
        <w:t> </w:t>
      </w:r>
      <w:r>
        <w:rPr>
          <w:color w:val="6E6158"/>
        </w:rPr>
        <w:t>cafeteria</w:t>
      </w:r>
      <w:r>
        <w:rPr>
          <w:color w:val="6E6158"/>
          <w:spacing w:val="22"/>
        </w:rPr>
        <w:t> </w:t>
      </w:r>
      <w:r>
        <w:rPr>
          <w:color w:val="6E6158"/>
        </w:rPr>
        <w:t>plans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self-funded health plans (benefit options, controlled group issues, preparing plan documents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negotiating provider contracts)</w:t>
      </w:r>
    </w:p>
    <w:p>
      <w:pPr>
        <w:pStyle w:val="BodyText"/>
        <w:spacing w:before="124"/>
      </w:pPr>
      <w:r>
        <w:rPr>
          <w:color w:val="6E6158"/>
        </w:rPr>
        <w:t>Plan</w:t>
      </w:r>
      <w:r>
        <w:rPr>
          <w:color w:val="6E6158"/>
          <w:spacing w:val="16"/>
        </w:rPr>
        <w:t> </w:t>
      </w:r>
      <w:r>
        <w:rPr>
          <w:color w:val="6E6158"/>
        </w:rPr>
        <w:t>administration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benefits-related</w:t>
      </w:r>
      <w:r>
        <w:rPr>
          <w:color w:val="6E6158"/>
          <w:spacing w:val="16"/>
        </w:rPr>
        <w:t> </w:t>
      </w:r>
      <w:r>
        <w:rPr>
          <w:color w:val="6E6158"/>
        </w:rPr>
        <w:t>payroll</w:t>
      </w:r>
      <w:r>
        <w:rPr>
          <w:color w:val="6E6158"/>
          <w:spacing w:val="16"/>
        </w:rPr>
        <w:t> </w:t>
      </w:r>
      <w:r>
        <w:rPr>
          <w:color w:val="6E6158"/>
        </w:rPr>
        <w:t>issues</w:t>
      </w:r>
      <w:r>
        <w:rPr>
          <w:color w:val="6E6158"/>
          <w:spacing w:val="16"/>
        </w:rPr>
        <w:t> </w:t>
      </w:r>
      <w:r>
        <w:rPr>
          <w:color w:val="6E6158"/>
        </w:rPr>
        <w:t>(participant</w:t>
      </w:r>
      <w:r>
        <w:rPr>
          <w:color w:val="6E6158"/>
          <w:spacing w:val="16"/>
        </w:rPr>
        <w:t> </w:t>
      </w:r>
      <w:r>
        <w:rPr>
          <w:color w:val="6E6158"/>
        </w:rPr>
        <w:t>eligibility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termination,</w:t>
      </w:r>
    </w:p>
    <w:p>
      <w:pPr>
        <w:pStyle w:val="BodyText"/>
        <w:spacing w:line="292" w:lineRule="auto" w:before="60"/>
        <w:ind w:right="491"/>
      </w:pPr>
      <w:r>
        <w:rPr>
          <w:color w:val="6E6158"/>
        </w:rPr>
        <w:t>benefit claims and appeals, COBRA, Qualified Domestic Relations Orders, plan distributions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rollovers, cafeteria plan administration, subrogation)</w:t>
      </w:r>
    </w:p>
    <w:p>
      <w:pPr>
        <w:pStyle w:val="BodyText"/>
        <w:spacing w:line="297" w:lineRule="auto" w:before="123"/>
        <w:ind w:right="815"/>
      </w:pPr>
      <w:r>
        <w:rPr>
          <w:color w:val="6E6158"/>
        </w:rPr>
        <w:t>Negotiating provider agreements (network provider agreements, administrative services</w:t>
      </w:r>
      <w:r>
        <w:rPr>
          <w:color w:val="6E6158"/>
          <w:spacing w:val="40"/>
        </w:rPr>
        <w:t> </w:t>
      </w:r>
      <w:r>
        <w:rPr>
          <w:color w:val="6E6158"/>
        </w:rPr>
        <w:t>agreements, business associate and cybersecurity agreements) with PPOs, HMOs, PBMs, </w:t>
      </w:r>
      <w:r>
        <w:rPr>
          <w:color w:val="6E6158"/>
        </w:rPr>
        <w:t>third</w:t>
      </w:r>
      <w:r>
        <w:rPr>
          <w:color w:val="6E6158"/>
          <w:spacing w:val="40"/>
        </w:rPr>
        <w:t> </w:t>
      </w:r>
      <w:r>
        <w:rPr>
          <w:color w:val="6E6158"/>
        </w:rPr>
        <w:t>party administrators, consultants and other plan professionals</w:t>
      </w:r>
    </w:p>
    <w:p>
      <w:pPr>
        <w:pStyle w:val="BodyText"/>
        <w:spacing w:line="292" w:lineRule="auto" w:before="119"/>
        <w:ind w:right="491"/>
      </w:pPr>
      <w:r>
        <w:rPr>
          <w:color w:val="6E6158"/>
        </w:rPr>
        <w:t>Compliance with ERISA, ACA, Internal Revenue Code, HIPAA, MHPAEA, SECURE Act, No </w:t>
      </w:r>
      <w:r>
        <w:rPr>
          <w:color w:val="6E6158"/>
        </w:rPr>
        <w:t>Surprises Act and other federal and state tax laws and regulations</w:t>
      </w:r>
    </w:p>
    <w:p>
      <w:pPr>
        <w:pStyle w:val="BodyText"/>
        <w:spacing w:line="302" w:lineRule="auto" w:before="123"/>
        <w:ind w:right="815"/>
      </w:pPr>
      <w:r>
        <w:rPr>
          <w:color w:val="6E6158"/>
        </w:rPr>
        <w:t>Plan audits and corrections with the IRS and DOL (VCP, VFCP and DFVCP filings, and audit </w:t>
      </w:r>
      <w:r>
        <w:rPr>
          <w:color w:val="6E6158"/>
          <w:spacing w:val="-2"/>
        </w:rPr>
        <w:t>responses)</w:t>
      </w:r>
    </w:p>
    <w:p>
      <w:pPr>
        <w:pStyle w:val="BodyText"/>
        <w:spacing w:line="420" w:lineRule="auto" w:before="113"/>
        <w:ind w:right="3929"/>
      </w:pPr>
      <w:r>
        <w:rPr>
          <w:color w:val="6E6158"/>
        </w:rPr>
        <w:t>Benefits-related due diligence in mergers and </w:t>
      </w:r>
      <w:r>
        <w:rPr>
          <w:color w:val="6E6158"/>
        </w:rPr>
        <w:t>acquisitions Plan mergers and terminations</w:t>
      </w:r>
    </w:p>
    <w:p>
      <w:pPr>
        <w:pStyle w:val="BodyText"/>
        <w:spacing w:line="292" w:lineRule="auto" w:before="6"/>
        <w:ind w:right="491"/>
      </w:pPr>
      <w:r>
        <w:rPr>
          <w:color w:val="6E6158"/>
        </w:rPr>
        <w:t>Plan investment review (negotiating subscription documents, side letters, advising on ERISA </w:t>
      </w:r>
      <w:r>
        <w:rPr>
          <w:color w:val="6E6158"/>
        </w:rPr>
        <w:t>plan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assets)</w:t>
      </w:r>
    </w:p>
    <w:p>
      <w:pPr>
        <w:pStyle w:val="BodyText"/>
        <w:spacing w:line="292" w:lineRule="auto" w:before="123"/>
        <w:ind w:right="815"/>
      </w:pPr>
      <w:r>
        <w:rPr>
          <w:color w:val="6E6158"/>
        </w:rPr>
        <w:t>Preparing and advising on equity compensation, non-qualified deferred </w:t>
      </w:r>
      <w:r>
        <w:rPr>
          <w:color w:val="6E6158"/>
        </w:rPr>
        <w:t>compensation, employment, severance and retention agreements, 280G and 409A issues</w:t>
      </w:r>
    </w:p>
    <w:p>
      <w:pPr>
        <w:pStyle w:val="BodyText"/>
        <w:spacing w:line="292" w:lineRule="auto" w:before="132"/>
        <w:ind w:right="815"/>
      </w:pPr>
      <w:r>
        <w:rPr>
          <w:color w:val="6E6158"/>
        </w:rPr>
        <w:t>Advising plan fiduciaries on fiduciary duties and prohibited transactions with respect to </w:t>
      </w:r>
      <w:r>
        <w:rPr>
          <w:color w:val="6E6158"/>
        </w:rPr>
        <w:t>plan</w:t>
      </w:r>
      <w:r>
        <w:rPr>
          <w:color w:val="6E6158"/>
          <w:spacing w:val="40"/>
        </w:rPr>
        <w:t> </w:t>
      </w:r>
      <w:r>
        <w:rPr>
          <w:color w:val="6E6158"/>
        </w:rPr>
        <w:t>investments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expenses,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acquisition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disposition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plan</w:t>
      </w:r>
      <w:r>
        <w:rPr>
          <w:color w:val="6E6158"/>
          <w:spacing w:val="31"/>
        </w:rPr>
        <w:t> </w:t>
      </w:r>
      <w:r>
        <w:rPr>
          <w:color w:val="6E6158"/>
        </w:rPr>
        <w:t>assets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real</w:t>
      </w:r>
      <w:r>
        <w:rPr>
          <w:color w:val="6E6158"/>
          <w:spacing w:val="31"/>
        </w:rPr>
        <w:t> </w:t>
      </w:r>
      <w:r>
        <w:rPr>
          <w:color w:val="6E6158"/>
        </w:rPr>
        <w:t>estate</w:t>
      </w:r>
    </w:p>
    <w:p>
      <w:pPr>
        <w:pStyle w:val="BodyText"/>
        <w:spacing w:before="123"/>
      </w:pPr>
      <w:r>
        <w:rPr>
          <w:color w:val="6E6158"/>
        </w:rPr>
        <w:t>Multiemployer</w:t>
      </w:r>
      <w:r>
        <w:rPr>
          <w:color w:val="6E6158"/>
          <w:spacing w:val="19"/>
        </w:rPr>
        <w:t> </w:t>
      </w:r>
      <w:r>
        <w:rPr>
          <w:color w:val="6E6158"/>
        </w:rPr>
        <w:t>plan</w:t>
      </w:r>
      <w:r>
        <w:rPr>
          <w:color w:val="6E6158"/>
          <w:spacing w:val="19"/>
        </w:rPr>
        <w:t> </w:t>
      </w:r>
      <w:r>
        <w:rPr>
          <w:color w:val="6E6158"/>
        </w:rPr>
        <w:t>compliance,</w:t>
      </w:r>
      <w:r>
        <w:rPr>
          <w:color w:val="6E6158"/>
          <w:spacing w:val="19"/>
        </w:rPr>
        <w:t> </w:t>
      </w:r>
      <w:r>
        <w:rPr>
          <w:color w:val="6E6158"/>
        </w:rPr>
        <w:t>administration,</w:t>
      </w:r>
      <w:r>
        <w:rPr>
          <w:color w:val="6E6158"/>
          <w:spacing w:val="19"/>
        </w:rPr>
        <w:t> </w:t>
      </w:r>
      <w:r>
        <w:rPr>
          <w:color w:val="6E6158"/>
        </w:rPr>
        <w:t>withdrawal</w:t>
      </w:r>
      <w:r>
        <w:rPr>
          <w:color w:val="6E6158"/>
          <w:spacing w:val="19"/>
        </w:rPr>
        <w:t> </w:t>
      </w:r>
      <w:r>
        <w:rPr>
          <w:color w:val="6E6158"/>
        </w:rPr>
        <w:t>liability,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  <w:spacing w:val="-2"/>
        </w:rPr>
        <w:t>funding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Jenny</w:t>
      </w:r>
      <w:r>
        <w:rPr>
          <w:color w:val="6E6158"/>
          <w:spacing w:val="11"/>
        </w:rPr>
        <w:t> </w:t>
      </w:r>
      <w:r>
        <w:rPr>
          <w:color w:val="6E6158"/>
        </w:rPr>
        <w:t>obtained</w:t>
      </w:r>
      <w:r>
        <w:rPr>
          <w:color w:val="6E6158"/>
          <w:spacing w:val="12"/>
        </w:rPr>
        <w:t> </w:t>
      </w:r>
      <w:r>
        <w:rPr>
          <w:color w:val="6E6158"/>
        </w:rPr>
        <w:t>her</w:t>
      </w:r>
      <w:r>
        <w:rPr>
          <w:color w:val="6E6158"/>
          <w:spacing w:val="12"/>
        </w:rPr>
        <w:t> </w:t>
      </w:r>
      <w:r>
        <w:rPr>
          <w:color w:val="6E6158"/>
        </w:rPr>
        <w:t>J.D.</w:t>
      </w:r>
      <w:r>
        <w:rPr>
          <w:color w:val="6E6158"/>
          <w:spacing w:val="12"/>
        </w:rPr>
        <w:t> </w:t>
      </w:r>
      <w:r>
        <w:rPr>
          <w:color w:val="6E6158"/>
        </w:rPr>
        <w:t>from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Nebraska-Lincoln,</w:t>
      </w:r>
      <w:r>
        <w:rPr>
          <w:color w:val="6E6158"/>
          <w:spacing w:val="11"/>
        </w:rPr>
        <w:t> </w:t>
      </w:r>
      <w:r>
        <w:rPr>
          <w:color w:val="6E6158"/>
        </w:rPr>
        <w:t>where</w:t>
      </w:r>
      <w:r>
        <w:rPr>
          <w:color w:val="6E6158"/>
          <w:spacing w:val="12"/>
        </w:rPr>
        <w:t> </w:t>
      </w:r>
      <w:r>
        <w:rPr>
          <w:color w:val="6E6158"/>
        </w:rPr>
        <w:t>she</w:t>
      </w:r>
      <w:r>
        <w:rPr>
          <w:color w:val="6E6158"/>
          <w:spacing w:val="12"/>
        </w:rPr>
        <w:t> </w:t>
      </w:r>
      <w:r>
        <w:rPr>
          <w:color w:val="6E6158"/>
        </w:rPr>
        <w:t>served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the</w:t>
      </w:r>
    </w:p>
    <w:p>
      <w:pPr>
        <w:pStyle w:val="BodyText"/>
        <w:spacing w:line="297" w:lineRule="auto" w:before="52"/>
        <w:ind w:right="491"/>
      </w:pPr>
      <w:r>
        <w:rPr>
          <w:color w:val="6E6158"/>
        </w:rPr>
        <w:t>Nebraska</w:t>
      </w:r>
      <w:r>
        <w:rPr>
          <w:color w:val="6E6158"/>
          <w:spacing w:val="26"/>
        </w:rPr>
        <w:t> </w:t>
      </w:r>
      <w:r>
        <w:rPr>
          <w:color w:val="6E6158"/>
        </w:rPr>
        <w:t>Law</w:t>
      </w:r>
      <w:r>
        <w:rPr>
          <w:color w:val="6E6158"/>
          <w:spacing w:val="26"/>
        </w:rPr>
        <w:t> </w:t>
      </w:r>
      <w:r>
        <w:rPr>
          <w:color w:val="6E6158"/>
        </w:rPr>
        <w:t>Review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graduated</w:t>
      </w:r>
      <w:r>
        <w:rPr>
          <w:color w:val="6E6158"/>
          <w:spacing w:val="26"/>
        </w:rPr>
        <w:t> </w:t>
      </w:r>
      <w:r>
        <w:rPr>
          <w:color w:val="6E6158"/>
        </w:rPr>
        <w:t>Order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Coif.</w:t>
      </w:r>
      <w:r>
        <w:rPr>
          <w:color w:val="6E6158"/>
          <w:spacing w:val="26"/>
        </w:rPr>
        <w:t> </w:t>
      </w:r>
      <w:r>
        <w:rPr>
          <w:color w:val="6E6158"/>
        </w:rPr>
        <w:t>She</w:t>
      </w:r>
      <w:r>
        <w:rPr>
          <w:color w:val="6E6158"/>
          <w:spacing w:val="26"/>
        </w:rPr>
        <w:t> </w:t>
      </w:r>
      <w:r>
        <w:rPr>
          <w:color w:val="6E6158"/>
        </w:rPr>
        <w:t>obtained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Bachelor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Arts</w:t>
      </w:r>
      <w:r>
        <w:rPr>
          <w:color w:val="6E6158"/>
          <w:spacing w:val="26"/>
        </w:rPr>
        <w:t> </w:t>
      </w:r>
      <w:r>
        <w:rPr>
          <w:color w:val="6E6158"/>
        </w:rPr>
        <w:t>from the University of British Columbia. Jenny lives in Denver, CO with her husband Bill. In her free time,</w:t>
      </w:r>
      <w:r>
        <w:rPr>
          <w:color w:val="6E6158"/>
          <w:spacing w:val="40"/>
        </w:rPr>
        <w:t> </w:t>
      </w:r>
      <w:r>
        <w:rPr>
          <w:color w:val="6E6158"/>
        </w:rPr>
        <w:t>she likes to read, cook, and travel the world.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5332"/>
      </w:pPr>
      <w:r>
        <w:rPr>
          <w:color w:val="6E6158"/>
        </w:rPr>
        <w:t>J.D., University of Nebraska College of </w:t>
      </w:r>
      <w:r>
        <w:rPr>
          <w:color w:val="6E6158"/>
        </w:rPr>
        <w:t>Law</w:t>
      </w:r>
      <w:r>
        <w:rPr>
          <w:color w:val="6E6158"/>
        </w:rPr>
        <w:t> B.A., University of British Columbia</w:t>
      </w:r>
    </w:p>
    <w:p>
      <w:pPr>
        <w:pStyle w:val="Heading1"/>
        <w:spacing w:before="29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  <w:spacing w:val="-2"/>
        </w:rPr>
        <w:t>ERISA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494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Supreme Court Makes It Easier For Plaintiffs To Sue Plan Fiduciaries</w:t>
        </w:r>
      </w:hyperlink>
      <w:r>
        <w:rPr>
          <w:color w:val="6E6158"/>
        </w:rPr>
        <w:t>,” Fennemore Blog, April 21, 2025</w:t>
      </w:r>
    </w:p>
    <w:p>
      <w:pPr>
        <w:pStyle w:val="BodyText"/>
        <w:spacing w:before="132"/>
      </w:pPr>
      <w:hyperlink r:id="rId12">
        <w:r>
          <w:rPr>
            <w:color w:val="F5821F"/>
          </w:rPr>
          <w:t>Co-Author,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Justices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Likely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Stay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ERISA’s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Bounds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Pleadings,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Law360,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February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12,</w:t>
        </w:r>
        <w:r>
          <w:rPr>
            <w:color w:val="F5821F"/>
            <w:spacing w:val="9"/>
          </w:rPr>
          <w:t> </w:t>
        </w:r>
        <w:r>
          <w:rPr>
            <w:color w:val="F5821F"/>
            <w:spacing w:val="-4"/>
          </w:rPr>
          <w:t>2025</w:t>
        </w:r>
      </w:hyperlink>
    </w:p>
    <w:p>
      <w:pPr>
        <w:pStyle w:val="BodyText"/>
        <w:spacing w:line="292" w:lineRule="auto" w:before="173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Buying or Selling a Business? Look Out for Employee Benefits Issues!</w:t>
        </w:r>
      </w:hyperlink>
      <w:r>
        <w:rPr>
          <w:color w:val="6E6158"/>
        </w:rPr>
        <w:t>,” Greater </w:t>
      </w:r>
      <w:r>
        <w:rPr>
          <w:color w:val="6E6158"/>
        </w:rPr>
        <w:t>Phoenix InBusiness Magazine, November 1, 2024</w:t>
      </w:r>
    </w:p>
    <w:p>
      <w:pPr>
        <w:pStyle w:val="BodyText"/>
        <w:spacing w:line="302" w:lineRule="auto" w:before="124"/>
        <w:ind w:right="815"/>
      </w:pPr>
      <w:r>
        <w:rPr>
          <w:color w:val="6E6158"/>
        </w:rPr>
        <w:t>Co-Author, “Consider 10 Benefit Questions Before that Merger or Acquisition Occurs,” World </w:t>
      </w:r>
      <w:r>
        <w:rPr>
          <w:color w:val="6E6158"/>
        </w:rPr>
        <w:t>at Work, September 9, 2024</w:t>
      </w:r>
    </w:p>
    <w:p>
      <w:pPr>
        <w:pStyle w:val="BodyText"/>
        <w:spacing w:line="292" w:lineRule="auto" w:before="113"/>
        <w:ind w:right="815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Buying or selling a business? Watch for these employee benefits issues,” AZ Big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Media</w:t>
        </w:r>
      </w:hyperlink>
      <w:r>
        <w:rPr>
          <w:color w:val="6E6158"/>
        </w:rPr>
        <w:t>, August 27, 2024</w:t>
      </w:r>
    </w:p>
    <w:p>
      <w:pPr>
        <w:pStyle w:val="BodyText"/>
        <w:spacing w:line="292" w:lineRule="auto" w:before="131"/>
        <w:ind w:right="815"/>
      </w:pPr>
      <w:r>
        <w:rPr>
          <w:color w:val="6E6158"/>
        </w:rPr>
        <w:t>Co-Author, </w:t>
      </w:r>
      <w:hyperlink r:id="rId15">
        <w:r>
          <w:rPr>
            <w:color w:val="F5821F"/>
          </w:rPr>
          <w:t>Buying Or Selling A Business? Don’t Forget To Look Out For These Employee Benefits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Issues!</w:t>
        </w:r>
      </w:hyperlink>
      <w:r>
        <w:rPr>
          <w:color w:val="6E6158"/>
        </w:rPr>
        <w:t>, Fennemore Blog, June 26, 2024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Colorado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  <w:spacing w:val="-2"/>
        </w:rPr>
        <w:t>Mandarin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risa-and-employee-benefits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jzhang@fennemorelaw.com" TargetMode="External"/><Relationship Id="rId11" Type="http://schemas.openxmlformats.org/officeDocument/2006/relationships/hyperlink" Target="https://www.fennemorelaw.com/supreme-court-makes-it-easier-for-plaintiffs-to-sue-plan-fiduciaries/" TargetMode="External"/><Relationship Id="rId12" Type="http://schemas.openxmlformats.org/officeDocument/2006/relationships/hyperlink" Target="https://www.fennemorelaw.com/justices-likely-to-stay-in-erisas-bounds-on-pleadings/" TargetMode="External"/><Relationship Id="rId13" Type="http://schemas.openxmlformats.org/officeDocument/2006/relationships/hyperlink" Target="https://inbusinessphx.com/legal-regulations/buying-or-selling-a-business-look-out-for-employee-benefits-issues" TargetMode="External"/><Relationship Id="rId14" Type="http://schemas.openxmlformats.org/officeDocument/2006/relationships/hyperlink" Target="https://azbigmedia.com/business/buying-or-selling-a-business-watch-for-these-employee-benefits-issues/" TargetMode="External"/><Relationship Id="rId15" Type="http://schemas.openxmlformats.org/officeDocument/2006/relationships/hyperlink" Target="https://www.fennemorelaw.com/buying-or-selling-a-business-dont-forget-to-look-out-for-these-employee-benefits-issue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Jenny Zhang - Fennemore</dc:title>
  <dcterms:created xsi:type="dcterms:W3CDTF">2026-09-17T13:10:09Z</dcterms:created>
  <dcterms:modified xsi:type="dcterms:W3CDTF">2026-09-17T13:10:09Z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2026-09-17T00:00:00Z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2026-09-17T00:00:00Z</vt:filetime>
  </property>
  <property fmtid="{D5CDD505-2E9C-101B-9397-08002B2CF9AE}" pid="6" name="Producer">
    <vt:lpwstr>Skia/PDF m152</vt:lpwstr>
  </property>
</Properties>
</file>