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236"/>
        <w:rPr>
          <w:rFonts w:ascii="Times New Roman"/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-2956956</wp:posOffset>
                </wp:positionV>
                <wp:extent cx="6071870" cy="288861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2888615"/>
                          <a:chExt cx="6071870" cy="288861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JESSICA HERRERA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513759" y="1369338"/>
                            <a:ext cx="2082800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2800" h="320675">
                                <a:moveTo>
                                  <a:pt x="2082431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2082431" y="320382"/>
                                </a:lnTo>
                                <a:lnTo>
                                  <a:pt x="2082431" y="315214"/>
                                </a:lnTo>
                                <a:close/>
                              </a:path>
                              <a:path w="2082800" h="320675">
                                <a:moveTo>
                                  <a:pt x="20824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082431" y="5168"/>
                                </a:lnTo>
                                <a:lnTo>
                                  <a:pt x="20824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513691" y="763308"/>
                            <a:ext cx="2092960" cy="825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JESSICA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HERRERA</w:t>
                              </w:r>
                            </w:p>
                            <w:p>
                              <w:pPr>
                                <w:spacing w:before="39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Associate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&amp;</w:t>
                                </w:r>
                                <w:r>
                                  <w:rPr>
                                    <w:color w:val="FFFFFF"/>
                                    <w:spacing w:val="4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Finance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243413" y="1859626"/>
                            <a:ext cx="63373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Sacramento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591928" y="2019783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916.920.5286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741089" y="2019783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916.920.5286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821631" y="2226505"/>
                            <a:ext cx="147701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jherrera@fennemorelaw.com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232.831253pt;width:478.1pt;height:227.45pt;mso-position-horizontal-relative:page;mso-position-vertical-relative:paragraph;z-index:15728640" id="docshapegroup1" coordorigin="1336,-4657" coordsize="9562,4549">
                <v:shape style="position:absolute;left:1336;top:-4657;width:2165;height:424" type="#_x0000_t75" id="docshape2" alt="Fennemore" href="https://www.fennemorelaw.com/" stroked="false">
                  <v:imagedata r:id="rId5" o:title=""/>
                </v:shape>
                <v:shape style="position:absolute;left:1336;top:-4234;width:4785;height:4126" type="#_x0000_t75" id="docshape3" alt="JESSICA HERRERA" stroked="false">
                  <v:imagedata r:id="rId7" o:title=""/>
                </v:shape>
                <v:rect style="position:absolute;left:6121;top:-4234;width:4777;height:4126" id="docshape4" filled="true" fillcolor="#262424" stroked="false">
                  <v:fill type="solid"/>
                </v:rect>
                <v:shape style="position:absolute;left:6869;top:-2501;width:3280;height:505" id="docshape5" coordorigin="6870,-2500" coordsize="3280,505" path="m10149,-2004l6870,-2004,6870,-1996,10149,-1996,10149,-2004xm10149,-2500l6870,-2500,6870,-2492,10149,-2492,10149,-2500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6869;top:-3455;width:3296;height:1300" type="#_x0000_t202" id="docshape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JESSICA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HERRERA</w:t>
                        </w:r>
                      </w:p>
                      <w:p>
                        <w:pPr>
                          <w:spacing w:before="39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Associate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&amp;</w:t>
                          </w:r>
                          <w:r>
                            <w:rPr>
                              <w:color w:val="FFFFFF"/>
                              <w:spacing w:val="4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Finance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018;top:-1729;width:998;height:200" type="#_x0000_t202" id="docshape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Sacramento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92;top:-1476;width:1258;height:210" type="#_x0000_t202" id="docshape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916.920.5286</w:t>
                        </w:r>
                      </w:p>
                    </w:txbxContent>
                  </v:textbox>
                  <w10:wrap type="none"/>
                </v:shape>
                <v:shape style="position:absolute;left:8802;top:-1476;width:1240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916.920.5286</w:t>
                        </w:r>
                      </w:p>
                    </w:txbxContent>
                  </v:textbox>
                  <w10:wrap type="none"/>
                </v:shape>
                <v:shape style="position:absolute;left:7354;top:-1151;width:2326;height:200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jherrera@fennemorelaw.com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8100"/>
        </w:rPr>
        <w:t>JESSICA</w:t>
      </w:r>
      <w:r>
        <w:rPr>
          <w:color w:val="FF8100"/>
          <w:spacing w:val="10"/>
        </w:rPr>
        <w:t> </w:t>
      </w:r>
      <w:r>
        <w:rPr>
          <w:color w:val="FF8100"/>
          <w:spacing w:val="-2"/>
        </w:rPr>
        <w:t>HERRERA</w:t>
      </w:r>
    </w:p>
    <w:p>
      <w:pPr>
        <w:pStyle w:val="BodyText"/>
        <w:spacing w:line="297" w:lineRule="auto" w:before="147"/>
        <w:ind w:left="99" w:right="219"/>
      </w:pPr>
      <w:r>
        <w:rPr>
          <w:color w:val="6E6158"/>
        </w:rPr>
        <w:t>Jessica Herrera, an associate attorney, practices taxation, business, and estate law. Her</w:t>
      </w:r>
      <w:r>
        <w:rPr>
          <w:color w:val="6E6158"/>
          <w:spacing w:val="40"/>
        </w:rPr>
        <w:t> </w:t>
      </w:r>
      <w:r>
        <w:rPr>
          <w:color w:val="6E6158"/>
        </w:rPr>
        <w:t>background as a paralegal, where she gained experience in tax law, helped transition into her</w:t>
      </w:r>
      <w:r>
        <w:rPr>
          <w:color w:val="6E6158"/>
          <w:spacing w:val="40"/>
        </w:rPr>
        <w:t> </w:t>
      </w:r>
      <w:r>
        <w:rPr>
          <w:color w:val="6E6158"/>
        </w:rPr>
        <w:t>role</w:t>
      </w:r>
      <w:r>
        <w:rPr>
          <w:color w:val="6E6158"/>
          <w:spacing w:val="29"/>
        </w:rPr>
        <w:t> </w:t>
      </w:r>
      <w:r>
        <w:rPr>
          <w:color w:val="6E6158"/>
        </w:rPr>
        <w:t>as</w:t>
      </w:r>
      <w:r>
        <w:rPr>
          <w:color w:val="6E6158"/>
          <w:spacing w:val="29"/>
        </w:rPr>
        <w:t> </w:t>
      </w:r>
      <w:r>
        <w:rPr>
          <w:color w:val="6E6158"/>
        </w:rPr>
        <w:t>an</w:t>
      </w:r>
      <w:r>
        <w:rPr>
          <w:color w:val="6E6158"/>
          <w:spacing w:val="29"/>
        </w:rPr>
        <w:t> </w:t>
      </w:r>
      <w:r>
        <w:rPr>
          <w:color w:val="6E6158"/>
        </w:rPr>
        <w:t>attorney.</w:t>
      </w:r>
      <w:r>
        <w:rPr>
          <w:color w:val="6E6158"/>
          <w:spacing w:val="29"/>
        </w:rPr>
        <w:t> </w:t>
      </w:r>
      <w:r>
        <w:rPr>
          <w:color w:val="6E6158"/>
        </w:rPr>
        <w:t>Jessica</w:t>
      </w:r>
      <w:r>
        <w:rPr>
          <w:color w:val="6E6158"/>
          <w:spacing w:val="29"/>
        </w:rPr>
        <w:t> </w:t>
      </w:r>
      <w:r>
        <w:rPr>
          <w:color w:val="6E6158"/>
        </w:rPr>
        <w:t>is</w:t>
      </w:r>
      <w:r>
        <w:rPr>
          <w:color w:val="6E6158"/>
          <w:spacing w:val="29"/>
        </w:rPr>
        <w:t> </w:t>
      </w:r>
      <w:r>
        <w:rPr>
          <w:color w:val="6E6158"/>
        </w:rPr>
        <w:t>particularly</w:t>
      </w:r>
      <w:r>
        <w:rPr>
          <w:color w:val="6E6158"/>
          <w:spacing w:val="29"/>
        </w:rPr>
        <w:t> </w:t>
      </w:r>
      <w:r>
        <w:rPr>
          <w:color w:val="6E6158"/>
        </w:rPr>
        <w:t>renowned</w:t>
      </w:r>
      <w:r>
        <w:rPr>
          <w:color w:val="6E6158"/>
          <w:spacing w:val="29"/>
        </w:rPr>
        <w:t> </w:t>
      </w:r>
      <w:r>
        <w:rPr>
          <w:color w:val="6E6158"/>
        </w:rPr>
        <w:t>for</w:t>
      </w:r>
      <w:r>
        <w:rPr>
          <w:color w:val="6E6158"/>
          <w:spacing w:val="29"/>
        </w:rPr>
        <w:t> </w:t>
      </w:r>
      <w:r>
        <w:rPr>
          <w:color w:val="6E6158"/>
        </w:rPr>
        <w:t>her</w:t>
      </w:r>
      <w:r>
        <w:rPr>
          <w:color w:val="6E6158"/>
          <w:spacing w:val="29"/>
        </w:rPr>
        <w:t> </w:t>
      </w:r>
      <w:r>
        <w:rPr>
          <w:color w:val="6E6158"/>
        </w:rPr>
        <w:t>strategic</w:t>
      </w:r>
      <w:r>
        <w:rPr>
          <w:color w:val="6E6158"/>
          <w:spacing w:val="29"/>
        </w:rPr>
        <w:t> </w:t>
      </w:r>
      <w:r>
        <w:rPr>
          <w:color w:val="6E6158"/>
        </w:rPr>
        <w:t>tax</w:t>
      </w:r>
      <w:r>
        <w:rPr>
          <w:color w:val="6E6158"/>
          <w:spacing w:val="29"/>
        </w:rPr>
        <w:t> </w:t>
      </w:r>
      <w:r>
        <w:rPr>
          <w:color w:val="6E6158"/>
        </w:rPr>
        <w:t>planning,</w:t>
      </w:r>
      <w:r>
        <w:rPr>
          <w:color w:val="6E6158"/>
          <w:spacing w:val="29"/>
        </w:rPr>
        <w:t> </w:t>
      </w:r>
      <w:r>
        <w:rPr>
          <w:color w:val="6E6158"/>
        </w:rPr>
        <w:t>advising clients on federal and state tax audits, international tax reporting, and compliance matters. </w:t>
      </w:r>
      <w:r>
        <w:rPr>
          <w:color w:val="6E6158"/>
        </w:rPr>
        <w:t>Her</w:t>
      </w:r>
      <w:r>
        <w:rPr>
          <w:color w:val="6E6158"/>
          <w:spacing w:val="40"/>
        </w:rPr>
        <w:t> </w:t>
      </w:r>
      <w:r>
        <w:rPr>
          <w:color w:val="6E6158"/>
        </w:rPr>
        <w:t>skillset</w:t>
      </w:r>
      <w:r>
        <w:rPr>
          <w:color w:val="6E6158"/>
          <w:spacing w:val="34"/>
        </w:rPr>
        <w:t> </w:t>
      </w:r>
      <w:r>
        <w:rPr>
          <w:color w:val="6E6158"/>
        </w:rPr>
        <w:t>ensures</w:t>
      </w:r>
      <w:r>
        <w:rPr>
          <w:color w:val="6E6158"/>
          <w:spacing w:val="34"/>
        </w:rPr>
        <w:t> </w:t>
      </w:r>
      <w:r>
        <w:rPr>
          <w:color w:val="6E6158"/>
        </w:rPr>
        <w:t>that</w:t>
      </w:r>
      <w:r>
        <w:rPr>
          <w:color w:val="6E6158"/>
          <w:spacing w:val="34"/>
        </w:rPr>
        <w:t> </w:t>
      </w:r>
      <w:r>
        <w:rPr>
          <w:color w:val="6E6158"/>
        </w:rPr>
        <w:t>clients</w:t>
      </w:r>
      <w:r>
        <w:rPr>
          <w:color w:val="6E6158"/>
          <w:spacing w:val="34"/>
        </w:rPr>
        <w:t> </w:t>
      </w:r>
      <w:r>
        <w:rPr>
          <w:color w:val="6E6158"/>
        </w:rPr>
        <w:t>benefit</w:t>
      </w:r>
      <w:r>
        <w:rPr>
          <w:color w:val="6E6158"/>
          <w:spacing w:val="34"/>
        </w:rPr>
        <w:t> </w:t>
      </w:r>
      <w:r>
        <w:rPr>
          <w:color w:val="6E6158"/>
        </w:rPr>
        <w:t>from</w:t>
      </w:r>
      <w:r>
        <w:rPr>
          <w:color w:val="6E6158"/>
          <w:spacing w:val="34"/>
        </w:rPr>
        <w:t> </w:t>
      </w:r>
      <w:r>
        <w:rPr>
          <w:color w:val="6E6158"/>
        </w:rPr>
        <w:t>optimized</w:t>
      </w:r>
      <w:r>
        <w:rPr>
          <w:color w:val="6E6158"/>
          <w:spacing w:val="34"/>
        </w:rPr>
        <w:t> </w:t>
      </w:r>
      <w:r>
        <w:rPr>
          <w:color w:val="6E6158"/>
        </w:rPr>
        <w:t>financial</w:t>
      </w:r>
      <w:r>
        <w:rPr>
          <w:color w:val="6E6158"/>
          <w:spacing w:val="34"/>
        </w:rPr>
        <w:t> </w:t>
      </w:r>
      <w:r>
        <w:rPr>
          <w:color w:val="6E6158"/>
        </w:rPr>
        <w:t>efficiency</w:t>
      </w:r>
      <w:r>
        <w:rPr>
          <w:color w:val="6E6158"/>
          <w:spacing w:val="34"/>
        </w:rPr>
        <w:t> </w:t>
      </w:r>
      <w:r>
        <w:rPr>
          <w:color w:val="6E6158"/>
        </w:rPr>
        <w:t>and</w:t>
      </w:r>
      <w:r>
        <w:rPr>
          <w:color w:val="6E6158"/>
          <w:spacing w:val="34"/>
        </w:rPr>
        <w:t> </w:t>
      </w:r>
      <w:r>
        <w:rPr>
          <w:color w:val="6E6158"/>
        </w:rPr>
        <w:t>compliance</w:t>
      </w:r>
      <w:r>
        <w:rPr>
          <w:color w:val="6E6158"/>
          <w:spacing w:val="34"/>
        </w:rPr>
        <w:t> </w:t>
      </w:r>
      <w:r>
        <w:rPr>
          <w:color w:val="6E6158"/>
        </w:rPr>
        <w:t>with</w:t>
      </w:r>
    </w:p>
    <w:p>
      <w:pPr>
        <w:pStyle w:val="BodyText"/>
        <w:spacing w:line="229" w:lineRule="exact"/>
        <w:ind w:left="99"/>
      </w:pPr>
      <w:r>
        <w:rPr>
          <w:color w:val="6E6158"/>
        </w:rPr>
        <w:t>complex</w:t>
      </w:r>
      <w:r>
        <w:rPr>
          <w:color w:val="6E6158"/>
          <w:spacing w:val="11"/>
        </w:rPr>
        <w:t> </w:t>
      </w:r>
      <w:r>
        <w:rPr>
          <w:color w:val="6E6158"/>
        </w:rPr>
        <w:t>tax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regulations.</w:t>
      </w:r>
    </w:p>
    <w:p>
      <w:pPr>
        <w:pStyle w:val="BodyText"/>
        <w:spacing w:before="14"/>
      </w:pPr>
    </w:p>
    <w:p>
      <w:pPr>
        <w:pStyle w:val="BodyText"/>
        <w:spacing w:line="295" w:lineRule="auto"/>
        <w:ind w:left="99" w:right="219"/>
      </w:pPr>
      <w:r>
        <w:rPr>
          <w:color w:val="6E6158"/>
        </w:rPr>
        <w:t>Additionally, Jessica has a track record in representing clients in tax controversies. Her successes</w:t>
      </w:r>
      <w:r>
        <w:rPr>
          <w:color w:val="6E6158"/>
          <w:spacing w:val="40"/>
        </w:rPr>
        <w:t> </w:t>
      </w:r>
      <w:r>
        <w:rPr>
          <w:color w:val="6E6158"/>
        </w:rPr>
        <w:t>include disputing IRS tax adjustments, obtaining tax refunds, and providing comprehensive </w:t>
      </w:r>
      <w:r>
        <w:rPr>
          <w:color w:val="6E6158"/>
        </w:rPr>
        <w:t>legal</w:t>
      </w:r>
      <w:r>
        <w:rPr>
          <w:color w:val="6E6158"/>
          <w:spacing w:val="40"/>
        </w:rPr>
        <w:t> </w:t>
      </w:r>
      <w:r>
        <w:rPr>
          <w:color w:val="6E6158"/>
        </w:rPr>
        <w:t>opinions on a variety of tax matters, such as California residency, exit strategies, and foreign</w:t>
      </w:r>
      <w:r>
        <w:rPr>
          <w:color w:val="6E6158"/>
          <w:spacing w:val="40"/>
        </w:rPr>
        <w:t> </w:t>
      </w:r>
      <w:r>
        <w:rPr>
          <w:color w:val="6E6158"/>
        </w:rPr>
        <w:t>reporting compliance. Her ability to resolve tax disputes has made her a tremendous support to</w:t>
      </w:r>
      <w:r>
        <w:rPr>
          <w:color w:val="6E6158"/>
          <w:spacing w:val="40"/>
        </w:rPr>
        <w:t> </w:t>
      </w:r>
      <w:r>
        <w:rPr>
          <w:color w:val="6E6158"/>
        </w:rPr>
        <w:t>her colleagues and an asset to her clients.</w:t>
      </w:r>
    </w:p>
    <w:p>
      <w:pPr>
        <w:pStyle w:val="BodyText"/>
        <w:spacing w:line="302" w:lineRule="auto" w:before="195"/>
        <w:ind w:left="99"/>
      </w:pPr>
      <w:r>
        <w:rPr>
          <w:color w:val="6E6158"/>
        </w:rPr>
        <w:t>In her spare time Jessica enjoys spending time with her family and attending Bay Area sporting</w:t>
      </w:r>
      <w:r>
        <w:rPr>
          <w:color w:val="6E6158"/>
          <w:spacing w:val="40"/>
        </w:rPr>
        <w:t> </w:t>
      </w:r>
      <w:r>
        <w:rPr>
          <w:color w:val="6E6158"/>
        </w:rPr>
        <w:t>events. She is also an avid cook and traveler.</w:t>
      </w:r>
    </w:p>
    <w:p>
      <w:pPr>
        <w:pStyle w:val="Heading1"/>
        <w:spacing w:before="152"/>
      </w:pPr>
      <w:r>
        <w:rPr>
          <w:color w:val="FF8100"/>
          <w:spacing w:val="-2"/>
        </w:rPr>
        <w:t>EDUCATION</w:t>
      </w:r>
    </w:p>
    <w:p>
      <w:pPr>
        <w:pStyle w:val="BodyText"/>
        <w:spacing w:before="28"/>
        <w:rPr>
          <w:b/>
        </w:rPr>
      </w:pPr>
    </w:p>
    <w:p>
      <w:pPr>
        <w:pStyle w:val="BodyText"/>
        <w:ind w:left="99"/>
      </w:pPr>
      <w:r>
        <w:rPr>
          <w:color w:val="6E6158"/>
        </w:rPr>
        <w:t>J.D.,</w:t>
      </w:r>
      <w:r>
        <w:rPr>
          <w:color w:val="6E6158"/>
          <w:spacing w:val="11"/>
        </w:rPr>
        <w:t> </w:t>
      </w:r>
      <w:r>
        <w:rPr>
          <w:color w:val="6E6158"/>
        </w:rPr>
        <w:t>Golden</w:t>
      </w:r>
      <w:r>
        <w:rPr>
          <w:color w:val="6E6158"/>
          <w:spacing w:val="11"/>
        </w:rPr>
        <w:t> </w:t>
      </w:r>
      <w:r>
        <w:rPr>
          <w:color w:val="6E6158"/>
        </w:rPr>
        <w:t>Gate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University</w:t>
      </w:r>
    </w:p>
    <w:p>
      <w:pPr>
        <w:pStyle w:val="BodyText"/>
        <w:spacing w:line="427" w:lineRule="auto" w:before="174"/>
        <w:ind w:left="99" w:right="5550"/>
      </w:pPr>
      <w:r>
        <w:rPr>
          <w:color w:val="6E6158"/>
        </w:rPr>
        <w:t>LL.M., Taxation, Golden Gate </w:t>
      </w:r>
      <w:r>
        <w:rPr>
          <w:color w:val="6E6158"/>
        </w:rPr>
        <w:t>University B.S., California State University</w:t>
      </w:r>
    </w:p>
    <w:p>
      <w:pPr>
        <w:pStyle w:val="Heading1"/>
        <w:spacing w:before="276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line="420" w:lineRule="auto"/>
        <w:ind w:left="99" w:right="7268"/>
      </w:pPr>
      <w:r>
        <w:rPr>
          <w:color w:val="6E6158"/>
        </w:rPr>
        <w:t>Business &amp; </w:t>
      </w:r>
      <w:r>
        <w:rPr>
          <w:color w:val="6E6158"/>
        </w:rPr>
        <w:t>Finance Tax Law</w:t>
      </w:r>
    </w:p>
    <w:p>
      <w:pPr>
        <w:pStyle w:val="Heading1"/>
        <w:spacing w:before="282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spacing w:before="261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5"/>
          <w:sz w:val="20"/>
        </w:rPr>
        <w:t> </w:t>
      </w:r>
      <w:r>
        <w:rPr>
          <w:color w:val="6E6158"/>
          <w:sz w:val="19"/>
        </w:rPr>
        <w:t>Ones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to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Watch,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Tax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2026-</w:t>
      </w:r>
      <w:r>
        <w:rPr>
          <w:color w:val="6E6158"/>
          <w:spacing w:val="-4"/>
          <w:sz w:val="19"/>
        </w:rPr>
        <w:t>2027</w:t>
      </w:r>
    </w:p>
    <w:p>
      <w:pPr>
        <w:spacing w:after="0"/>
        <w:jc w:val="left"/>
        <w:rPr>
          <w:sz w:val="19"/>
        </w:rPr>
        <w:sectPr>
          <w:type w:val="continuous"/>
          <w:pgSz w:w="12240" w:h="15840"/>
          <w:pgMar w:top="560" w:bottom="280" w:left="1440" w:right="1440"/>
        </w:sectPr>
      </w:pPr>
    </w:p>
    <w:p>
      <w:pPr>
        <w:spacing w:before="96"/>
        <w:ind w:left="99" w:right="0" w:firstLine="0"/>
        <w:jc w:val="left"/>
        <w:rPr>
          <w:sz w:val="19"/>
        </w:rPr>
      </w:pPr>
      <w:r>
        <w:rPr>
          <w:i/>
          <w:color w:val="6E6158"/>
          <w:spacing w:val="-2"/>
          <w:sz w:val="20"/>
        </w:rPr>
        <w:t>Northern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pacing w:val="-2"/>
          <w:sz w:val="20"/>
        </w:rPr>
        <w:t>California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pacing w:val="-2"/>
          <w:sz w:val="20"/>
        </w:rPr>
        <w:t>Super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pacing w:val="-2"/>
          <w:sz w:val="20"/>
        </w:rPr>
        <w:t>Lawyers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pacing w:val="-2"/>
          <w:sz w:val="20"/>
        </w:rPr>
        <w:t>Rising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pacing w:val="-2"/>
          <w:sz w:val="20"/>
        </w:rPr>
        <w:t>Star</w:t>
      </w:r>
      <w:r>
        <w:rPr>
          <w:i/>
          <w:color w:val="6E6158"/>
          <w:spacing w:val="-2"/>
          <w:position w:val="7"/>
          <w:sz w:val="16"/>
        </w:rPr>
        <w:t>®</w:t>
      </w:r>
      <w:r>
        <w:rPr>
          <w:color w:val="6E6158"/>
          <w:spacing w:val="-2"/>
          <w:sz w:val="19"/>
        </w:rPr>
        <w:t>,</w:t>
      </w:r>
      <w:r>
        <w:rPr>
          <w:color w:val="6E6158"/>
          <w:sz w:val="19"/>
        </w:rPr>
        <w:t> </w:t>
      </w:r>
      <w:r>
        <w:rPr>
          <w:color w:val="6E6158"/>
          <w:spacing w:val="-2"/>
          <w:sz w:val="19"/>
        </w:rPr>
        <w:t>2023-</w:t>
      </w:r>
      <w:r>
        <w:rPr>
          <w:color w:val="6E6158"/>
          <w:spacing w:val="-4"/>
          <w:sz w:val="19"/>
        </w:rPr>
        <w:t>2026</w:t>
      </w:r>
    </w:p>
    <w:p>
      <w:pPr>
        <w:pStyle w:val="BodyText"/>
        <w:spacing w:before="161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line="427" w:lineRule="auto"/>
        <w:ind w:left="99" w:right="5550"/>
      </w:pPr>
      <w:r>
        <w:rPr>
          <w:color w:val="6E6158"/>
        </w:rPr>
        <w:t>Member, State Bar of California Member, American Bar </w:t>
      </w:r>
      <w:r>
        <w:rPr>
          <w:color w:val="6E6158"/>
        </w:rPr>
        <w:t>Association</w:t>
      </w:r>
    </w:p>
    <w:p>
      <w:pPr>
        <w:pStyle w:val="BodyText"/>
        <w:spacing w:line="420" w:lineRule="auto"/>
        <w:ind w:left="99" w:right="4233"/>
      </w:pPr>
      <w:r>
        <w:rPr>
          <w:color w:val="6E6158"/>
        </w:rPr>
        <w:t>Member, Sacramento County Bar </w:t>
      </w:r>
      <w:r>
        <w:rPr>
          <w:color w:val="6E6158"/>
        </w:rPr>
        <w:t>Association Member, California Women Lawyers</w:t>
      </w:r>
    </w:p>
    <w:p>
      <w:pPr>
        <w:pStyle w:val="BodyText"/>
        <w:spacing w:line="231" w:lineRule="exact"/>
        <w:ind w:left="99"/>
      </w:pPr>
      <w:r>
        <w:rPr>
          <w:color w:val="6E6158"/>
        </w:rPr>
        <w:t>California</w:t>
      </w:r>
      <w:r>
        <w:rPr>
          <w:color w:val="6E6158"/>
          <w:spacing w:val="22"/>
        </w:rPr>
        <w:t> </w:t>
      </w:r>
      <w:r>
        <w:rPr>
          <w:color w:val="6E6158"/>
          <w:spacing w:val="-2"/>
        </w:rPr>
        <w:t>Notary</w:t>
      </w:r>
    </w:p>
    <w:p>
      <w:pPr>
        <w:pStyle w:val="BodyText"/>
        <w:spacing w:before="164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rPr>
          <w:b/>
        </w:rPr>
      </w:pPr>
    </w:p>
    <w:p>
      <w:pPr>
        <w:pStyle w:val="BodyText"/>
        <w:ind w:left="99"/>
      </w:pPr>
      <w:r>
        <w:rPr>
          <w:color w:val="6E6158"/>
          <w:spacing w:val="-2"/>
        </w:rPr>
        <w:t>California</w:t>
      </w:r>
    </w:p>
    <w:p>
      <w:pPr>
        <w:pStyle w:val="BodyText"/>
        <w:spacing w:line="420" w:lineRule="auto" w:before="174"/>
        <w:ind w:left="99" w:right="6230"/>
      </w:pPr>
      <w:r>
        <w:rPr>
          <w:color w:val="6E6158"/>
        </w:rPr>
        <w:t>California Notary Public California Supreme </w:t>
      </w:r>
      <w:r>
        <w:rPr>
          <w:color w:val="6E6158"/>
        </w:rPr>
        <w:t>Court</w:t>
      </w:r>
    </w:p>
    <w:p>
      <w:pPr>
        <w:pStyle w:val="BodyText"/>
        <w:spacing w:before="6"/>
        <w:ind w:left="99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Court,</w:t>
      </w:r>
      <w:r>
        <w:rPr>
          <w:color w:val="6E6158"/>
          <w:spacing w:val="12"/>
        </w:rPr>
        <w:t> </w:t>
      </w:r>
      <w:r>
        <w:rPr>
          <w:color w:val="6E6158"/>
        </w:rPr>
        <w:t>Northern</w:t>
      </w:r>
      <w:r>
        <w:rPr>
          <w:color w:val="6E6158"/>
          <w:spacing w:val="12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California</w:t>
      </w:r>
    </w:p>
    <w:p>
      <w:pPr>
        <w:pStyle w:val="BodyText"/>
        <w:spacing w:before="174"/>
        <w:ind w:left="99"/>
      </w:pPr>
      <w:r>
        <w:rPr>
          <w:color w:val="6E6158"/>
        </w:rPr>
        <w:t>U.S.</w:t>
      </w:r>
      <w:r>
        <w:rPr>
          <w:color w:val="6E6158"/>
          <w:spacing w:val="9"/>
        </w:rPr>
        <w:t> </w:t>
      </w:r>
      <w:r>
        <w:rPr>
          <w:color w:val="6E6158"/>
        </w:rPr>
        <w:t>Federal</w:t>
      </w:r>
      <w:r>
        <w:rPr>
          <w:color w:val="6E6158"/>
          <w:spacing w:val="10"/>
        </w:rPr>
        <w:t> </w:t>
      </w:r>
      <w:r>
        <w:rPr>
          <w:color w:val="6E6158"/>
        </w:rPr>
        <w:t>Court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Claim</w:t>
      </w:r>
    </w:p>
    <w:p>
      <w:pPr>
        <w:pStyle w:val="BodyText"/>
        <w:spacing w:before="174"/>
        <w:ind w:left="99"/>
      </w:pPr>
      <w:r>
        <w:rPr>
          <w:color w:val="6E6158"/>
        </w:rPr>
        <w:t>U.S.</w:t>
      </w:r>
      <w:r>
        <w:rPr>
          <w:color w:val="6E6158"/>
          <w:spacing w:val="1"/>
        </w:rPr>
        <w:t> </w:t>
      </w:r>
      <w:r>
        <w:rPr>
          <w:color w:val="6E6158"/>
        </w:rPr>
        <w:t>Tax</w:t>
      </w:r>
      <w:r>
        <w:rPr>
          <w:color w:val="6E6158"/>
          <w:spacing w:val="2"/>
        </w:rPr>
        <w:t> </w:t>
      </w:r>
      <w:r>
        <w:rPr>
          <w:color w:val="6E6158"/>
          <w:spacing w:val="-2"/>
        </w:rPr>
        <w:t>Court</w:t>
      </w:r>
    </w:p>
    <w:sectPr>
      <w:pgSz w:w="12240" w:h="15840"/>
      <w:pgMar w:top="48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and-finance/" TargetMode="External"/><Relationship Id="rId9" Type="http://schemas.openxmlformats.org/officeDocument/2006/relationships/hyperlink" Target="https://www.fennemorelaw.com/contact-us/sacramento/" TargetMode="External"/><Relationship Id="rId10" Type="http://schemas.openxmlformats.org/officeDocument/2006/relationships/hyperlink" Target="mailto:jherrera@fennemorelaw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Jessica Herrera - Fennemore</dc:title>
  <dcterms:created xsi:type="dcterms:W3CDTF">2026-09-04T21:25:50Z</dcterms:created>
  <dcterms:modified xsi:type="dcterms:W3CDTF">2026-09-04T21:25:50Z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2026-09-04T00:00:00Z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2026-09-04T00:00:00Z</vt:filetime>
  </property>
  <property fmtid="{D5CDD505-2E9C-101B-9397-08002B2CF9AE}" pid="6" name="Producer">
    <vt:lpwstr>Skia/PDF m151</vt:lpwstr>
  </property>
</Properties>
</file>