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23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-2956956</wp:posOffset>
                </wp:positionV>
                <wp:extent cx="6071870" cy="28886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Lauren Howell bio copy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565436" y="1369338"/>
                            <a:ext cx="19792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295" h="320675">
                                <a:moveTo>
                                  <a:pt x="1979079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979079" y="320382"/>
                                </a:lnTo>
                                <a:lnTo>
                                  <a:pt x="1979079" y="315214"/>
                                </a:lnTo>
                                <a:close/>
                              </a:path>
                              <a:path w="1979295" h="320675">
                                <a:moveTo>
                                  <a:pt x="19790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979079" y="5168"/>
                                </a:lnTo>
                                <a:lnTo>
                                  <a:pt x="1979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563023" y="763308"/>
                            <a:ext cx="1994535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LAUREN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HOWELL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Labor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Employment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250033" y="1859626"/>
                            <a:ext cx="6203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San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Antonio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16634" y="2019783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16464" y="2019783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39636" y="2226505"/>
                            <a:ext cx="144081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lhowell@fennemorelaw.com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32.831253pt;width:478.1pt;height:227.45pt;mso-position-horizontal-relative:page;mso-position-vertical-relative:paragraph;z-index:15728640" id="docshapegroup1" coordorigin="1336,-4657" coordsize="9562,4549">
                <v:shape style="position:absolute;left:1336;top:-4657;width:2165;height:424" type="#_x0000_t75" id="docshape2" alt="Fennemore" href="https://www.fennemorelaw.com/" stroked="false">
                  <v:imagedata r:id="rId5" o:title=""/>
                </v:shape>
                <v:shape style="position:absolute;left:1336;top:-4234;width:4785;height:4126" type="#_x0000_t75" id="docshape3" alt="Lauren Howell bio copy" stroked="false">
                  <v:imagedata r:id="rId7" o:title=""/>
                </v:shape>
                <v:rect style="position:absolute;left:6121;top:-4234;width:4777;height:4126" id="docshape4" filled="true" fillcolor="#262424" stroked="false">
                  <v:fill type="solid"/>
                </v:rect>
                <v:shape style="position:absolute;left:6951;top:-2501;width:3117;height:505" id="docshape5" coordorigin="6951,-2500" coordsize="3117,505" path="m10068,-2004l6951,-2004,6951,-1996,10068,-1996,10068,-2004xm10068,-2500l6951,-2500,6951,-2492,10068,-2492,10068,-250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947;top:-3455;width:3141;height:1300" type="#_x0000_t202" id="docshape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LAUREN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HOWELL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Labor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Employment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29;top:-1729;width:977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San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Antonio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031;top:-1476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210.447.8033</w:t>
                        </w:r>
                      </w:p>
                    </w:txbxContent>
                  </v:textbox>
                  <w10:wrap type="none"/>
                </v:shape>
                <v:shape style="position:absolute;left:8763;top:-1476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210.447.8036</w:t>
                        </w:r>
                      </w:p>
                    </w:txbxContent>
                  </v:textbox>
                  <w10:wrap type="none"/>
                </v:shape>
                <v:shape style="position:absolute;left:7382;top:-1151;width:2269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lhowell@fennemorelaw.com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LAUREN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HOWELL</w:t>
      </w:r>
    </w:p>
    <w:p>
      <w:pPr>
        <w:pStyle w:val="BodyText"/>
        <w:spacing w:line="297" w:lineRule="auto" w:before="147"/>
        <w:ind w:right="1079"/>
      </w:pPr>
      <w:r>
        <w:rPr>
          <w:color w:val="6E6158"/>
        </w:rPr>
        <w:t>Lauren Howell is an attorney in Fennemore’s San Antonio office. She primarily handles</w:t>
      </w:r>
      <w:r>
        <w:rPr>
          <w:color w:val="6E6158"/>
          <w:spacing w:val="40"/>
        </w:rPr>
        <w:t> </w:t>
      </w:r>
      <w:r>
        <w:rPr>
          <w:color w:val="6E6158"/>
        </w:rPr>
        <w:t>employment and labor law matters, representing management in a wide variety of employment-related</w:t>
      </w:r>
      <w:r>
        <w:rPr>
          <w:color w:val="6E6158"/>
          <w:spacing w:val="16"/>
        </w:rPr>
        <w:t> </w:t>
      </w:r>
      <w:r>
        <w:rPr>
          <w:color w:val="6E6158"/>
        </w:rPr>
        <w:t>claims</w:t>
      </w:r>
      <w:r>
        <w:rPr>
          <w:color w:val="6E6158"/>
          <w:spacing w:val="16"/>
        </w:rPr>
        <w:t> </w:t>
      </w:r>
      <w:r>
        <w:rPr>
          <w:color w:val="6E6158"/>
        </w:rPr>
        <w:t>in</w:t>
      </w:r>
      <w:r>
        <w:rPr>
          <w:color w:val="6E6158"/>
          <w:spacing w:val="16"/>
        </w:rPr>
        <w:t> </w:t>
      </w:r>
      <w:r>
        <w:rPr>
          <w:color w:val="6E6158"/>
        </w:rPr>
        <w:t>both</w:t>
      </w:r>
      <w:r>
        <w:rPr>
          <w:color w:val="6E6158"/>
          <w:spacing w:val="16"/>
        </w:rPr>
        <w:t> </w:t>
      </w:r>
      <w:r>
        <w:rPr>
          <w:color w:val="6E6158"/>
        </w:rPr>
        <w:t>federal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state</w:t>
      </w:r>
      <w:r>
        <w:rPr>
          <w:color w:val="6E6158"/>
          <w:spacing w:val="16"/>
        </w:rPr>
        <w:t> </w:t>
      </w:r>
      <w:r>
        <w:rPr>
          <w:color w:val="6E6158"/>
        </w:rPr>
        <w:t>courts.</w:t>
      </w:r>
      <w:r>
        <w:rPr>
          <w:color w:val="6E6158"/>
          <w:spacing w:val="16"/>
        </w:rPr>
        <w:t> </w:t>
      </w:r>
      <w:r>
        <w:rPr>
          <w:color w:val="6E6158"/>
        </w:rPr>
        <w:t>She</w:t>
      </w:r>
      <w:r>
        <w:rPr>
          <w:color w:val="6E6158"/>
          <w:spacing w:val="16"/>
        </w:rPr>
        <w:t> </w:t>
      </w:r>
      <w:r>
        <w:rPr>
          <w:color w:val="6E6158"/>
        </w:rPr>
        <w:t>advises</w:t>
      </w:r>
      <w:r>
        <w:rPr>
          <w:color w:val="6E6158"/>
          <w:spacing w:val="16"/>
        </w:rPr>
        <w:t> </w:t>
      </w:r>
      <w:r>
        <w:rPr>
          <w:color w:val="6E6158"/>
        </w:rPr>
        <w:t>employers</w:t>
      </w:r>
      <w:r>
        <w:rPr>
          <w:color w:val="6E6158"/>
          <w:spacing w:val="16"/>
        </w:rPr>
        <w:t> </w:t>
      </w:r>
      <w:r>
        <w:rPr>
          <w:color w:val="6E6158"/>
        </w:rPr>
        <w:t>on</w:t>
      </w:r>
    </w:p>
    <w:p>
      <w:pPr>
        <w:pStyle w:val="BodyText"/>
        <w:spacing w:line="297" w:lineRule="auto"/>
        <w:ind w:right="361"/>
      </w:pPr>
      <w:r>
        <w:rPr>
          <w:color w:val="6E6158"/>
        </w:rPr>
        <w:t>workplace compliance, policies, and dispute resolution, and defends businesses in </w:t>
      </w:r>
      <w:r>
        <w:rPr>
          <w:color w:val="6E6158"/>
        </w:rPr>
        <w:t>litigation</w:t>
      </w:r>
      <w:r>
        <w:rPr>
          <w:color w:val="6E6158"/>
          <w:spacing w:val="40"/>
        </w:rPr>
        <w:t> </w:t>
      </w:r>
      <w:r>
        <w:rPr>
          <w:color w:val="6E6158"/>
        </w:rPr>
        <w:t>alleging discrimination, retaliation, hostile work environment, wage and hour claims, and</w:t>
      </w:r>
      <w:r>
        <w:rPr>
          <w:color w:val="6E6158"/>
          <w:spacing w:val="40"/>
        </w:rPr>
        <w:t> </w:t>
      </w:r>
      <w:r>
        <w:rPr>
          <w:color w:val="6E6158"/>
        </w:rPr>
        <w:t>wrongful</w:t>
      </w:r>
      <w:r>
        <w:rPr>
          <w:color w:val="6E6158"/>
          <w:spacing w:val="34"/>
        </w:rPr>
        <w:t> </w:t>
      </w:r>
      <w:r>
        <w:rPr>
          <w:color w:val="6E6158"/>
        </w:rPr>
        <w:t>termination.</w:t>
      </w:r>
      <w:r>
        <w:rPr>
          <w:color w:val="6E6158"/>
          <w:spacing w:val="34"/>
        </w:rPr>
        <w:t> </w:t>
      </w:r>
      <w:r>
        <w:rPr>
          <w:color w:val="6E6158"/>
        </w:rPr>
        <w:t>She</w:t>
      </w:r>
      <w:r>
        <w:rPr>
          <w:color w:val="6E6158"/>
          <w:spacing w:val="34"/>
        </w:rPr>
        <w:t> </w:t>
      </w:r>
      <w:r>
        <w:rPr>
          <w:color w:val="6E6158"/>
        </w:rPr>
        <w:t>also</w:t>
      </w:r>
      <w:r>
        <w:rPr>
          <w:color w:val="6E6158"/>
          <w:spacing w:val="34"/>
        </w:rPr>
        <w:t> </w:t>
      </w:r>
      <w:r>
        <w:rPr>
          <w:color w:val="6E6158"/>
        </w:rPr>
        <w:t>handles</w:t>
      </w:r>
      <w:r>
        <w:rPr>
          <w:color w:val="6E6158"/>
          <w:spacing w:val="34"/>
        </w:rPr>
        <w:t> </w:t>
      </w:r>
      <w:r>
        <w:rPr>
          <w:color w:val="6E6158"/>
        </w:rPr>
        <w:t>select</w:t>
      </w:r>
      <w:r>
        <w:rPr>
          <w:color w:val="6E6158"/>
          <w:spacing w:val="34"/>
        </w:rPr>
        <w:t> </w:t>
      </w:r>
      <w:r>
        <w:rPr>
          <w:color w:val="6E6158"/>
        </w:rPr>
        <w:t>commercial</w:t>
      </w:r>
      <w:r>
        <w:rPr>
          <w:color w:val="6E6158"/>
          <w:spacing w:val="34"/>
        </w:rPr>
        <w:t> </w:t>
      </w:r>
      <w:r>
        <w:rPr>
          <w:color w:val="6E6158"/>
        </w:rPr>
        <w:t>litigation</w:t>
      </w:r>
      <w:r>
        <w:rPr>
          <w:color w:val="6E6158"/>
          <w:spacing w:val="34"/>
        </w:rPr>
        <w:t> </w:t>
      </w:r>
      <w:r>
        <w:rPr>
          <w:color w:val="6E6158"/>
        </w:rPr>
        <w:t>cases</w:t>
      </w:r>
      <w:r>
        <w:rPr>
          <w:color w:val="6E6158"/>
          <w:spacing w:val="34"/>
        </w:rPr>
        <w:t> </w:t>
      </w:r>
      <w:r>
        <w:rPr>
          <w:color w:val="6E6158"/>
        </w:rPr>
        <w:t>for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firm.</w:t>
      </w:r>
    </w:p>
    <w:p>
      <w:pPr>
        <w:pStyle w:val="BodyText"/>
        <w:spacing w:before="187"/>
      </w:pPr>
      <w:r>
        <w:rPr>
          <w:color w:val="6E6158"/>
        </w:rPr>
        <w:t>Lauren’s</w:t>
      </w:r>
      <w:r>
        <w:rPr>
          <w:color w:val="6E6158"/>
          <w:spacing w:val="17"/>
        </w:rPr>
        <w:t> </w:t>
      </w:r>
      <w:r>
        <w:rPr>
          <w:color w:val="6E6158"/>
        </w:rPr>
        <w:t>commercial</w:t>
      </w:r>
      <w:r>
        <w:rPr>
          <w:color w:val="6E6158"/>
          <w:spacing w:val="17"/>
        </w:rPr>
        <w:t> </w:t>
      </w:r>
      <w:r>
        <w:rPr>
          <w:color w:val="6E6158"/>
        </w:rPr>
        <w:t>litigation</w:t>
      </w:r>
      <w:r>
        <w:rPr>
          <w:color w:val="6E6158"/>
          <w:spacing w:val="17"/>
        </w:rPr>
        <w:t> </w:t>
      </w:r>
      <w:r>
        <w:rPr>
          <w:color w:val="6E6158"/>
        </w:rPr>
        <w:t>experience</w:t>
      </w:r>
      <w:r>
        <w:rPr>
          <w:color w:val="6E6158"/>
          <w:spacing w:val="17"/>
        </w:rPr>
        <w:t> </w:t>
      </w:r>
      <w:r>
        <w:rPr>
          <w:color w:val="6E6158"/>
        </w:rPr>
        <w:t>includes</w:t>
      </w:r>
      <w:r>
        <w:rPr>
          <w:color w:val="6E6158"/>
          <w:spacing w:val="17"/>
        </w:rPr>
        <w:t> </w:t>
      </w:r>
      <w:r>
        <w:rPr>
          <w:color w:val="6E6158"/>
        </w:rPr>
        <w:t>handling</w:t>
      </w:r>
      <w:r>
        <w:rPr>
          <w:color w:val="6E6158"/>
          <w:spacing w:val="17"/>
        </w:rPr>
        <w:t> </w:t>
      </w:r>
      <w:r>
        <w:rPr>
          <w:color w:val="6E6158"/>
        </w:rPr>
        <w:t>cases</w:t>
      </w:r>
      <w:r>
        <w:rPr>
          <w:color w:val="6E6158"/>
          <w:spacing w:val="18"/>
        </w:rPr>
        <w:t> </w:t>
      </w:r>
      <w:r>
        <w:rPr>
          <w:color w:val="6E6158"/>
        </w:rPr>
        <w:t>involving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construction</w:t>
      </w:r>
    </w:p>
    <w:p>
      <w:pPr>
        <w:pStyle w:val="BodyText"/>
        <w:spacing w:line="295" w:lineRule="auto" w:before="52"/>
        <w:ind w:right="219"/>
      </w:pPr>
      <w:r>
        <w:rPr>
          <w:color w:val="6E6158"/>
        </w:rPr>
        <w:t>disputes, breach of contract, partnership and joint venture disputes, nuisance and trespass,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other business-related matters. Before focusing her practice on employment and labor law,</w:t>
      </w:r>
      <w:r>
        <w:rPr>
          <w:color w:val="6E6158"/>
          <w:spacing w:val="40"/>
        </w:rPr>
        <w:t> </w:t>
      </w:r>
      <w:r>
        <w:rPr>
          <w:color w:val="6E6158"/>
        </w:rPr>
        <w:t>Lauren represented clients in commercial and civil litigation, counseled businesses on corporate</w:t>
      </w:r>
      <w:r>
        <w:rPr>
          <w:color w:val="6E6158"/>
          <w:spacing w:val="40"/>
        </w:rPr>
        <w:t> </w:t>
      </w:r>
      <w:r>
        <w:rPr>
          <w:color w:val="6E6158"/>
        </w:rPr>
        <w:t>compliance, and developed estate plans for small businesses and individuals. Her well-rounded</w:t>
      </w:r>
      <w:r>
        <w:rPr>
          <w:color w:val="6E6158"/>
          <w:spacing w:val="40"/>
        </w:rPr>
        <w:t> </w:t>
      </w:r>
      <w:r>
        <w:rPr>
          <w:color w:val="6E6158"/>
        </w:rPr>
        <w:t>background</w:t>
      </w:r>
      <w:r>
        <w:rPr>
          <w:color w:val="6E6158"/>
          <w:spacing w:val="31"/>
        </w:rPr>
        <w:t> </w:t>
      </w:r>
      <w:r>
        <w:rPr>
          <w:color w:val="6E6158"/>
        </w:rPr>
        <w:t>allows</w:t>
      </w:r>
      <w:r>
        <w:rPr>
          <w:color w:val="6E6158"/>
          <w:spacing w:val="31"/>
        </w:rPr>
        <w:t> </w:t>
      </w:r>
      <w:r>
        <w:rPr>
          <w:color w:val="6E6158"/>
        </w:rPr>
        <w:t>her</w:t>
      </w:r>
      <w:r>
        <w:rPr>
          <w:color w:val="6E6158"/>
          <w:spacing w:val="31"/>
        </w:rPr>
        <w:t> </w:t>
      </w:r>
      <w:r>
        <w:rPr>
          <w:color w:val="6E6158"/>
        </w:rPr>
        <w:t>to</w:t>
      </w:r>
      <w:r>
        <w:rPr>
          <w:color w:val="6E6158"/>
          <w:spacing w:val="31"/>
        </w:rPr>
        <w:t> </w:t>
      </w:r>
      <w:r>
        <w:rPr>
          <w:color w:val="6E6158"/>
        </w:rPr>
        <w:t>provide</w:t>
      </w:r>
      <w:r>
        <w:rPr>
          <w:color w:val="6E6158"/>
          <w:spacing w:val="31"/>
        </w:rPr>
        <w:t> </w:t>
      </w:r>
      <w:r>
        <w:rPr>
          <w:color w:val="6E6158"/>
        </w:rPr>
        <w:t>employers</w:t>
      </w:r>
      <w:r>
        <w:rPr>
          <w:color w:val="6E6158"/>
          <w:spacing w:val="31"/>
        </w:rPr>
        <w:t> </w:t>
      </w:r>
      <w:r>
        <w:rPr>
          <w:color w:val="6E6158"/>
        </w:rPr>
        <w:t>with</w:t>
      </w:r>
      <w:r>
        <w:rPr>
          <w:color w:val="6E6158"/>
          <w:spacing w:val="31"/>
        </w:rPr>
        <w:t> </w:t>
      </w:r>
      <w:r>
        <w:rPr>
          <w:color w:val="6E6158"/>
        </w:rPr>
        <w:t>practical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comprehensive</w:t>
      </w:r>
      <w:r>
        <w:rPr>
          <w:color w:val="6E6158"/>
          <w:spacing w:val="31"/>
        </w:rPr>
        <w:t> </w:t>
      </w:r>
      <w:r>
        <w:rPr>
          <w:color w:val="6E6158"/>
        </w:rPr>
        <w:t>legal</w:t>
      </w:r>
      <w:r>
        <w:rPr>
          <w:color w:val="6E6158"/>
          <w:spacing w:val="31"/>
        </w:rPr>
        <w:t> </w:t>
      </w:r>
      <w:r>
        <w:rPr>
          <w:color w:val="6E6158"/>
        </w:rPr>
        <w:t>solutions</w:t>
      </w:r>
    </w:p>
    <w:p>
      <w:pPr>
        <w:pStyle w:val="BodyText"/>
        <w:spacing w:before="8"/>
      </w:pPr>
      <w:r>
        <w:rPr>
          <w:color w:val="6E6158"/>
        </w:rPr>
        <w:t>that</w:t>
      </w:r>
      <w:r>
        <w:rPr>
          <w:color w:val="6E6158"/>
          <w:spacing w:val="10"/>
        </w:rPr>
        <w:t> </w:t>
      </w:r>
      <w:r>
        <w:rPr>
          <w:color w:val="6E6158"/>
        </w:rPr>
        <w:t>align</w:t>
      </w:r>
      <w:r>
        <w:rPr>
          <w:color w:val="6E6158"/>
          <w:spacing w:val="10"/>
        </w:rPr>
        <w:t> </w:t>
      </w:r>
      <w:r>
        <w:rPr>
          <w:color w:val="6E6158"/>
        </w:rPr>
        <w:t>with</w:t>
      </w:r>
      <w:r>
        <w:rPr>
          <w:color w:val="6E6158"/>
          <w:spacing w:val="11"/>
        </w:rPr>
        <w:t> </w:t>
      </w:r>
      <w:r>
        <w:rPr>
          <w:color w:val="6E6158"/>
        </w:rPr>
        <w:t>their</w:t>
      </w:r>
      <w:r>
        <w:rPr>
          <w:color w:val="6E6158"/>
          <w:spacing w:val="10"/>
        </w:rPr>
        <w:t> </w:t>
      </w:r>
      <w:r>
        <w:rPr>
          <w:color w:val="6E6158"/>
        </w:rPr>
        <w:t>business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objectives.</w:t>
      </w:r>
    </w:p>
    <w:p>
      <w:pPr>
        <w:pStyle w:val="BodyText"/>
        <w:spacing w:before="14"/>
        <w:ind w:left="0"/>
      </w:pPr>
    </w:p>
    <w:p>
      <w:pPr>
        <w:pStyle w:val="BodyText"/>
        <w:spacing w:line="295" w:lineRule="auto"/>
        <w:ind w:right="308"/>
      </w:pPr>
      <w:r>
        <w:rPr>
          <w:color w:val="6E6158"/>
        </w:rPr>
        <w:t>Lauren graduated cum laude from Texas A&amp;M University in College Station in 2013, and</w:t>
      </w:r>
      <w:r>
        <w:rPr>
          <w:color w:val="6E6158"/>
          <w:spacing w:val="80"/>
        </w:rPr>
        <w:t> </w:t>
      </w:r>
      <w:r>
        <w:rPr>
          <w:color w:val="6E6158"/>
        </w:rPr>
        <w:t>completed the University of Houston Paralegal Certificate Program later that year. Before attending law school, Lauren worked as a civil litigation paralegal for five years in both Houston</w:t>
      </w:r>
      <w:r>
        <w:rPr>
          <w:color w:val="6E6158"/>
          <w:spacing w:val="40"/>
        </w:rPr>
        <w:t> </w:t>
      </w:r>
      <w:r>
        <w:rPr>
          <w:color w:val="6E6158"/>
        </w:rPr>
        <w:t>and San Antonio, gaining valuable firsthand experience in complex case management and </w:t>
      </w:r>
      <w:r>
        <w:rPr>
          <w:color w:val="6E6158"/>
        </w:rPr>
        <w:t>trial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preparation.</w:t>
      </w:r>
    </w:p>
    <w:p>
      <w:pPr>
        <w:pStyle w:val="BodyText"/>
        <w:spacing w:line="297" w:lineRule="auto" w:before="195"/>
        <w:ind w:right="236"/>
      </w:pPr>
      <w:r>
        <w:rPr>
          <w:color w:val="6E6158"/>
        </w:rPr>
        <w:t>Lauren earned her law degree from St. Mary’s University School of Law in 2021, where she</w:t>
      </w:r>
      <w:r>
        <w:rPr>
          <w:color w:val="6E6158"/>
          <w:spacing w:val="40"/>
        </w:rPr>
        <w:t> </w:t>
      </w:r>
      <w:r>
        <w:rPr>
          <w:color w:val="6E6158"/>
        </w:rPr>
        <w:t>distinguished herself as the Managing Executive Editor of the St. Mary’s Law Journal, President of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Student</w:t>
      </w:r>
      <w:r>
        <w:rPr>
          <w:color w:val="6E6158"/>
          <w:spacing w:val="27"/>
        </w:rPr>
        <w:t> </w:t>
      </w:r>
      <w:r>
        <w:rPr>
          <w:color w:val="6E6158"/>
        </w:rPr>
        <w:t>Animal</w:t>
      </w:r>
      <w:r>
        <w:rPr>
          <w:color w:val="6E6158"/>
          <w:spacing w:val="27"/>
        </w:rPr>
        <w:t> </w:t>
      </w:r>
      <w:r>
        <w:rPr>
          <w:color w:val="6E6158"/>
        </w:rPr>
        <w:t>Legal</w:t>
      </w:r>
      <w:r>
        <w:rPr>
          <w:color w:val="6E6158"/>
          <w:spacing w:val="27"/>
        </w:rPr>
        <w:t> </w:t>
      </w:r>
      <w:r>
        <w:rPr>
          <w:color w:val="6E6158"/>
        </w:rPr>
        <w:t>Defense</w:t>
      </w:r>
      <w:r>
        <w:rPr>
          <w:color w:val="6E6158"/>
          <w:spacing w:val="27"/>
        </w:rPr>
        <w:t> </w:t>
      </w:r>
      <w:r>
        <w:rPr>
          <w:color w:val="6E6158"/>
        </w:rPr>
        <w:t>Fund,</w:t>
      </w:r>
      <w:r>
        <w:rPr>
          <w:color w:val="6E6158"/>
          <w:spacing w:val="27"/>
        </w:rPr>
        <w:t> </w:t>
      </w:r>
      <w:r>
        <w:rPr>
          <w:color w:val="6E6158"/>
        </w:rPr>
        <w:t>Secretary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Oil,</w:t>
      </w:r>
      <w:r>
        <w:rPr>
          <w:color w:val="6E6158"/>
          <w:spacing w:val="27"/>
        </w:rPr>
        <w:t> </w:t>
      </w:r>
      <w:r>
        <w:rPr>
          <w:color w:val="6E6158"/>
        </w:rPr>
        <w:t>Gas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Energy</w:t>
      </w:r>
      <w:r>
        <w:rPr>
          <w:color w:val="6E6158"/>
          <w:spacing w:val="27"/>
        </w:rPr>
        <w:t> </w:t>
      </w:r>
      <w:r>
        <w:rPr>
          <w:color w:val="6E6158"/>
        </w:rPr>
        <w:t>Resources</w:t>
      </w:r>
      <w:r>
        <w:rPr>
          <w:color w:val="6E6158"/>
          <w:spacing w:val="27"/>
        </w:rPr>
        <w:t> </w:t>
      </w:r>
      <w:r>
        <w:rPr>
          <w:color w:val="6E6158"/>
        </w:rPr>
        <w:t>Law</w:t>
      </w:r>
    </w:p>
    <w:p>
      <w:pPr>
        <w:pStyle w:val="BodyText"/>
        <w:spacing w:line="290" w:lineRule="auto"/>
        <w:ind w:right="308"/>
      </w:pPr>
      <w:r>
        <w:rPr>
          <w:color w:val="6E6158"/>
        </w:rPr>
        <w:t>Society, in addition to being a member in multiple other campus organizations. Her Comment</w:t>
      </w:r>
      <w:r>
        <w:rPr>
          <w:color w:val="6E6158"/>
          <w:spacing w:val="40"/>
        </w:rPr>
        <w:t> </w:t>
      </w:r>
      <w:r>
        <w:rPr>
          <w:color w:val="6E6158"/>
        </w:rPr>
        <w:t>was selected for publication in the </w:t>
      </w:r>
      <w:r>
        <w:rPr>
          <w:i/>
          <w:color w:val="6E6158"/>
          <w:sz w:val="20"/>
        </w:rPr>
        <w:t>St. Mary’s Law Journal</w:t>
      </w:r>
      <w:r>
        <w:rPr>
          <w:color w:val="6E6158"/>
        </w:rPr>
        <w:t>, and she also served as a Research Assistant</w:t>
      </w:r>
      <w:r>
        <w:rPr>
          <w:color w:val="6E6158"/>
          <w:spacing w:val="12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</w:rPr>
        <w:t>Labor</w:t>
      </w:r>
      <w:r>
        <w:rPr>
          <w:color w:val="6E6158"/>
          <w:spacing w:val="12"/>
        </w:rPr>
        <w:t> </w:t>
      </w:r>
      <w:r>
        <w:rPr>
          <w:color w:val="6E6158"/>
        </w:rPr>
        <w:t>Law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Texas</w:t>
      </w:r>
      <w:r>
        <w:rPr>
          <w:color w:val="6E6158"/>
          <w:spacing w:val="12"/>
        </w:rPr>
        <w:t> </w:t>
      </w:r>
      <w:r>
        <w:rPr>
          <w:color w:val="6E6158"/>
        </w:rPr>
        <w:t>Civil</w:t>
      </w:r>
      <w:r>
        <w:rPr>
          <w:color w:val="6E6158"/>
          <w:spacing w:val="12"/>
        </w:rPr>
        <w:t> </w:t>
      </w:r>
      <w:r>
        <w:rPr>
          <w:color w:val="6E6158"/>
        </w:rPr>
        <w:t>Procedure,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2"/>
        </w:rPr>
        <w:t> </w:t>
      </w:r>
      <w:r>
        <w:rPr>
          <w:color w:val="6E6158"/>
        </w:rPr>
        <w:t>Teaching</w:t>
      </w:r>
      <w:r>
        <w:rPr>
          <w:color w:val="6E6158"/>
          <w:spacing w:val="12"/>
        </w:rPr>
        <w:t> </w:t>
      </w:r>
      <w:r>
        <w:rPr>
          <w:color w:val="6E6158"/>
        </w:rPr>
        <w:t>Assistant</w:t>
      </w:r>
      <w:r>
        <w:rPr>
          <w:color w:val="6E6158"/>
          <w:spacing w:val="12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</w:rPr>
        <w:t>courses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Labor</w:t>
      </w:r>
    </w:p>
    <w:p>
      <w:pPr>
        <w:pStyle w:val="BodyText"/>
        <w:spacing w:line="292" w:lineRule="auto"/>
        <w:ind w:right="236"/>
      </w:pPr>
      <w:r>
        <w:rPr>
          <w:color w:val="6E6158"/>
        </w:rPr>
        <w:t>Law, Administrative Law, Torts, Criminal Law, and Legal Writing. During law school, Lauren gained</w:t>
      </w:r>
      <w:r>
        <w:rPr>
          <w:color w:val="6E6158"/>
          <w:spacing w:val="40"/>
        </w:rPr>
        <w:t> </w:t>
      </w:r>
      <w:r>
        <w:rPr>
          <w:color w:val="6E6158"/>
        </w:rPr>
        <w:t>valuable</w:t>
      </w:r>
      <w:r>
        <w:rPr>
          <w:color w:val="6E6158"/>
          <w:spacing w:val="39"/>
        </w:rPr>
        <w:t> </w:t>
      </w:r>
      <w:r>
        <w:rPr>
          <w:color w:val="6E6158"/>
        </w:rPr>
        <w:t>practical</w:t>
      </w:r>
      <w:r>
        <w:rPr>
          <w:color w:val="6E6158"/>
          <w:spacing w:val="39"/>
        </w:rPr>
        <w:t> </w:t>
      </w:r>
      <w:r>
        <w:rPr>
          <w:color w:val="6E6158"/>
        </w:rPr>
        <w:t>experience</w:t>
      </w:r>
      <w:r>
        <w:rPr>
          <w:color w:val="6E6158"/>
          <w:spacing w:val="39"/>
        </w:rPr>
        <w:t> </w:t>
      </w:r>
      <w:r>
        <w:rPr>
          <w:color w:val="6E6158"/>
        </w:rPr>
        <w:t>through</w:t>
      </w:r>
      <w:r>
        <w:rPr>
          <w:color w:val="6E6158"/>
          <w:spacing w:val="39"/>
        </w:rPr>
        <w:t> </w:t>
      </w:r>
      <w:r>
        <w:rPr>
          <w:color w:val="6E6158"/>
        </w:rPr>
        <w:t>internships</w:t>
      </w:r>
      <w:r>
        <w:rPr>
          <w:color w:val="6E6158"/>
          <w:spacing w:val="39"/>
        </w:rPr>
        <w:t> </w:t>
      </w:r>
      <w:r>
        <w:rPr>
          <w:color w:val="6E6158"/>
        </w:rPr>
        <w:t>with</w:t>
      </w:r>
      <w:r>
        <w:rPr>
          <w:color w:val="6E6158"/>
          <w:spacing w:val="39"/>
        </w:rPr>
        <w:t> </w:t>
      </w:r>
      <w:r>
        <w:rPr>
          <w:color w:val="6E6158"/>
        </w:rPr>
        <w:t>Valero</w:t>
      </w:r>
      <w:r>
        <w:rPr>
          <w:color w:val="6E6158"/>
          <w:spacing w:val="39"/>
        </w:rPr>
        <w:t> </w:t>
      </w:r>
      <w:r>
        <w:rPr>
          <w:color w:val="6E6158"/>
        </w:rPr>
        <w:t>Energy</w:t>
      </w:r>
      <w:r>
        <w:rPr>
          <w:color w:val="6E6158"/>
          <w:spacing w:val="39"/>
        </w:rPr>
        <w:t> </w:t>
      </w:r>
      <w:r>
        <w:rPr>
          <w:color w:val="6E6158"/>
        </w:rPr>
        <w:t>Corporation,</w:t>
      </w:r>
      <w:r>
        <w:rPr>
          <w:color w:val="6E6158"/>
          <w:spacing w:val="39"/>
        </w:rPr>
        <w:t> </w:t>
      </w:r>
      <w:r>
        <w:rPr>
          <w:color w:val="6E6158"/>
        </w:rPr>
        <w:t>the Honorable</w:t>
      </w:r>
      <w:r>
        <w:rPr>
          <w:color w:val="6E6158"/>
          <w:spacing w:val="26"/>
        </w:rPr>
        <w:t> </w:t>
      </w:r>
      <w:r>
        <w:rPr>
          <w:color w:val="6E6158"/>
        </w:rPr>
        <w:t>Judge</w:t>
      </w:r>
      <w:r>
        <w:rPr>
          <w:color w:val="6E6158"/>
          <w:spacing w:val="26"/>
        </w:rPr>
        <w:t> </w:t>
      </w:r>
      <w:r>
        <w:rPr>
          <w:color w:val="6E6158"/>
        </w:rPr>
        <w:t>Craig</w:t>
      </w:r>
      <w:r>
        <w:rPr>
          <w:color w:val="6E6158"/>
          <w:spacing w:val="26"/>
        </w:rPr>
        <w:t> </w:t>
      </w:r>
      <w:r>
        <w:rPr>
          <w:color w:val="6E6158"/>
        </w:rPr>
        <w:t>A.</w:t>
      </w:r>
      <w:r>
        <w:rPr>
          <w:color w:val="6E6158"/>
          <w:spacing w:val="26"/>
        </w:rPr>
        <w:t> </w:t>
      </w:r>
      <w:r>
        <w:rPr>
          <w:color w:val="6E6158"/>
        </w:rPr>
        <w:t>Gargotta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Western</w:t>
      </w:r>
      <w:r>
        <w:rPr>
          <w:color w:val="6E6158"/>
          <w:spacing w:val="26"/>
        </w:rPr>
        <w:t> </w:t>
      </w:r>
      <w:r>
        <w:rPr>
          <w:color w:val="6E6158"/>
        </w:rPr>
        <w:t>District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Texas,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multiple</w:t>
      </w:r>
      <w:r>
        <w:rPr>
          <w:color w:val="6E6158"/>
          <w:spacing w:val="26"/>
        </w:rPr>
        <w:t> </w:t>
      </w:r>
      <w:r>
        <w:rPr>
          <w:color w:val="6E6158"/>
        </w:rPr>
        <w:t>San</w:t>
      </w:r>
      <w:r>
        <w:rPr>
          <w:color w:val="6E6158"/>
          <w:spacing w:val="26"/>
        </w:rPr>
        <w:t> </w:t>
      </w:r>
      <w:r>
        <w:rPr>
          <w:color w:val="6E6158"/>
        </w:rPr>
        <w:t>Antonio</w:t>
      </w:r>
    </w:p>
    <w:p>
      <w:pPr>
        <w:pStyle w:val="BodyText"/>
        <w:spacing w:before="8"/>
      </w:pPr>
      <w:r>
        <w:rPr>
          <w:color w:val="6E6158"/>
        </w:rPr>
        <w:t>law</w:t>
      </w:r>
      <w:r>
        <w:rPr>
          <w:color w:val="6E6158"/>
          <w:spacing w:val="7"/>
        </w:rPr>
        <w:t> </w:t>
      </w:r>
      <w:r>
        <w:rPr>
          <w:color w:val="6E6158"/>
          <w:spacing w:val="-2"/>
        </w:rPr>
        <w:t>firms.</w:t>
      </w:r>
    </w:p>
    <w:p>
      <w:pPr>
        <w:pStyle w:val="BodyText"/>
        <w:spacing w:before="14"/>
        <w:ind w:left="0"/>
      </w:pPr>
    </w:p>
    <w:p>
      <w:pPr>
        <w:pStyle w:val="BodyText"/>
        <w:spacing w:line="292" w:lineRule="auto"/>
      </w:pPr>
      <w:r>
        <w:rPr>
          <w:color w:val="6E6158"/>
        </w:rPr>
        <w:t>Prior to joining Fennemore, Lauren was an associate at a San Antonio-based law firm focused on</w:t>
      </w:r>
      <w:r>
        <w:rPr>
          <w:color w:val="6E6158"/>
          <w:spacing w:val="40"/>
        </w:rPr>
        <w:t> </w:t>
      </w:r>
      <w:r>
        <w:rPr>
          <w:color w:val="6E6158"/>
        </w:rPr>
        <w:t>labor and employment, construction, and business litigation.</w:t>
      </w:r>
    </w:p>
    <w:p>
      <w:pPr>
        <w:pStyle w:val="BodyText"/>
        <w:spacing w:after="0" w:line="292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Heading1"/>
        <w:spacing w:before="83"/>
      </w:pPr>
      <w:r>
        <w:rPr>
          <w:color w:val="FF8100"/>
          <w:spacing w:val="-2"/>
        </w:rPr>
        <w:t>EDUCATION</w:t>
      </w:r>
    </w:p>
    <w:p>
      <w:pPr>
        <w:pStyle w:val="BodyText"/>
        <w:spacing w:before="18"/>
        <w:ind w:left="0"/>
        <w:rPr>
          <w:b/>
        </w:rPr>
      </w:pPr>
    </w:p>
    <w:p>
      <w:pPr>
        <w:pStyle w:val="BodyText"/>
        <w:rPr>
          <w:i/>
          <w:sz w:val="20"/>
        </w:rPr>
      </w:pPr>
      <w:r>
        <w:rPr>
          <w:color w:val="6E6158"/>
        </w:rPr>
        <w:t>J.D.,</w:t>
      </w:r>
      <w:r>
        <w:rPr>
          <w:color w:val="6E6158"/>
          <w:spacing w:val="7"/>
        </w:rPr>
        <w:t> </w:t>
      </w:r>
      <w:r>
        <w:rPr>
          <w:color w:val="6E6158"/>
        </w:rPr>
        <w:t>St.</w:t>
      </w:r>
      <w:r>
        <w:rPr>
          <w:color w:val="6E6158"/>
          <w:spacing w:val="8"/>
        </w:rPr>
        <w:t> </w:t>
      </w:r>
      <w:r>
        <w:rPr>
          <w:color w:val="6E6158"/>
        </w:rPr>
        <w:t>Mary’s</w:t>
      </w:r>
      <w:r>
        <w:rPr>
          <w:color w:val="6E6158"/>
          <w:spacing w:val="7"/>
        </w:rPr>
        <w:t> </w:t>
      </w:r>
      <w:r>
        <w:rPr>
          <w:color w:val="6E6158"/>
        </w:rPr>
        <w:t>University</w:t>
      </w:r>
      <w:r>
        <w:rPr>
          <w:color w:val="6E6158"/>
          <w:spacing w:val="8"/>
        </w:rPr>
        <w:t> </w:t>
      </w:r>
      <w:r>
        <w:rPr>
          <w:color w:val="6E6158"/>
        </w:rPr>
        <w:t>School</w:t>
      </w:r>
      <w:r>
        <w:rPr>
          <w:color w:val="6E6158"/>
          <w:spacing w:val="7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Law,</w:t>
      </w:r>
      <w:r>
        <w:rPr>
          <w:color w:val="6E6158"/>
          <w:spacing w:val="7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5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61"/>
        <w:rPr>
          <w:i/>
          <w:sz w:val="20"/>
        </w:rPr>
      </w:pPr>
      <w:r>
        <w:rPr>
          <w:color w:val="6E6158"/>
        </w:rPr>
        <w:t>B.A.,</w:t>
      </w:r>
      <w:r>
        <w:rPr>
          <w:color w:val="6E6158"/>
          <w:spacing w:val="7"/>
        </w:rPr>
        <w:t> </w:t>
      </w:r>
      <w:r>
        <w:rPr>
          <w:color w:val="6E6158"/>
        </w:rPr>
        <w:t>Texas</w:t>
      </w:r>
      <w:r>
        <w:rPr>
          <w:color w:val="6E6158"/>
          <w:spacing w:val="7"/>
        </w:rPr>
        <w:t> </w:t>
      </w:r>
      <w:r>
        <w:rPr>
          <w:color w:val="6E6158"/>
        </w:rPr>
        <w:t>A&amp;M</w:t>
      </w:r>
      <w:r>
        <w:rPr>
          <w:color w:val="6E6158"/>
          <w:spacing w:val="8"/>
        </w:rPr>
        <w:t> </w:t>
      </w:r>
      <w:r>
        <w:rPr>
          <w:color w:val="6E6158"/>
        </w:rPr>
        <w:t>University</w:t>
      </w:r>
      <w:r>
        <w:rPr>
          <w:color w:val="6E6158"/>
          <w:spacing w:val="7"/>
        </w:rPr>
        <w:t> </w:t>
      </w:r>
      <w:r>
        <w:rPr>
          <w:color w:val="6E6158"/>
        </w:rPr>
        <w:t>–</w:t>
      </w:r>
      <w:r>
        <w:rPr>
          <w:color w:val="6E6158"/>
          <w:spacing w:val="8"/>
        </w:rPr>
        <w:t> </w:t>
      </w:r>
      <w:r>
        <w:rPr>
          <w:color w:val="6E6158"/>
        </w:rPr>
        <w:t>College</w:t>
      </w:r>
      <w:r>
        <w:rPr>
          <w:color w:val="6E6158"/>
          <w:spacing w:val="7"/>
        </w:rPr>
        <w:t> </w:t>
      </w:r>
      <w:r>
        <w:rPr>
          <w:color w:val="6E6158"/>
        </w:rPr>
        <w:t>Station,</w:t>
      </w:r>
      <w:r>
        <w:rPr>
          <w:color w:val="6E6158"/>
          <w:spacing w:val="7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5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80"/>
      </w:pPr>
      <w:r>
        <w:rPr>
          <w:color w:val="6E6158"/>
        </w:rPr>
        <w:t>Paralegal</w:t>
      </w:r>
      <w:r>
        <w:rPr>
          <w:color w:val="6E6158"/>
          <w:spacing w:val="15"/>
        </w:rPr>
        <w:t> </w:t>
      </w:r>
      <w:r>
        <w:rPr>
          <w:color w:val="6E6158"/>
        </w:rPr>
        <w:t>Certificate,</w:t>
      </w:r>
      <w:r>
        <w:rPr>
          <w:color w:val="6E6158"/>
          <w:spacing w:val="16"/>
        </w:rPr>
        <w:t> </w:t>
      </w:r>
      <w:r>
        <w:rPr>
          <w:color w:val="6E6158"/>
        </w:rPr>
        <w:t>University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Houston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6624"/>
      </w:pPr>
      <w:r>
        <w:rPr>
          <w:color w:val="6E6158"/>
        </w:rPr>
        <w:t>Labor &amp; </w:t>
      </w:r>
      <w:r>
        <w:rPr>
          <w:color w:val="6E6158"/>
        </w:rPr>
        <w:t>Employment Business Litigation</w:t>
      </w:r>
    </w:p>
    <w:p>
      <w:pPr>
        <w:pStyle w:val="Heading1"/>
        <w:spacing w:before="290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361"/>
      </w:pPr>
      <w:r>
        <w:rPr>
          <w:color w:val="6E6158"/>
        </w:rPr>
        <w:t>Best Lawyers in America: Ones to Watch®, Labor and Employment Law – Management </w:t>
      </w:r>
      <w:r>
        <w:rPr>
          <w:color w:val="6E6158"/>
        </w:rPr>
        <w:t>and Litigation – Labor and Employment, 2026-2027</w:t>
      </w:r>
    </w:p>
    <w:p>
      <w:pPr>
        <w:pStyle w:val="BodyText"/>
        <w:spacing w:line="417" w:lineRule="auto" w:before="114"/>
        <w:ind w:right="2550"/>
      </w:pPr>
      <w:r>
        <w:rPr>
          <w:color w:val="6E6158"/>
        </w:rPr>
        <w:t>Top</w:t>
      </w:r>
      <w:r>
        <w:rPr>
          <w:color w:val="6E6158"/>
          <w:spacing w:val="27"/>
        </w:rPr>
        <w:t> </w:t>
      </w:r>
      <w:r>
        <w:rPr>
          <w:color w:val="6E6158"/>
        </w:rPr>
        <w:t>Labor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Employment</w:t>
      </w:r>
      <w:r>
        <w:rPr>
          <w:color w:val="6E6158"/>
          <w:spacing w:val="27"/>
        </w:rPr>
        <w:t> </w:t>
      </w:r>
      <w:r>
        <w:rPr>
          <w:color w:val="6E6158"/>
        </w:rPr>
        <w:t>Attorney,</w:t>
      </w:r>
      <w:r>
        <w:rPr>
          <w:color w:val="6E6158"/>
          <w:spacing w:val="27"/>
        </w:rPr>
        <w:t> </w:t>
      </w:r>
      <w:r>
        <w:rPr>
          <w:i/>
          <w:color w:val="6E6158"/>
          <w:sz w:val="20"/>
        </w:rPr>
        <w:t>San Antonio Magazine</w:t>
      </w:r>
      <w:r>
        <w:rPr>
          <w:color w:val="6E6158"/>
        </w:rPr>
        <w:t>,</w:t>
      </w:r>
      <w:r>
        <w:rPr>
          <w:color w:val="6E6158"/>
          <w:spacing w:val="27"/>
        </w:rPr>
        <w:t> </w:t>
      </w:r>
      <w:r>
        <w:rPr>
          <w:color w:val="6E6158"/>
        </w:rPr>
        <w:t>2025</w:t>
      </w:r>
      <w:r>
        <w:rPr>
          <w:color w:val="6E6158"/>
        </w:rPr>
        <w:t> San Antonio’s Best Labor and Employment Lawyers, Scene in S.A., 2024 Rising Star S.A. Lawyer, Scene in S.A., 2024</w:t>
      </w:r>
    </w:p>
    <w:p>
      <w:pPr>
        <w:pStyle w:val="BodyText"/>
        <w:spacing w:line="420" w:lineRule="auto" w:before="1"/>
        <w:ind w:right="2215"/>
      </w:pPr>
      <w:r>
        <w:rPr>
          <w:color w:val="6E6158"/>
        </w:rPr>
        <w:t>San Antonio’s Outstanding Women Lawyers, Scene in S.A., 2024 and </w:t>
      </w:r>
      <w:r>
        <w:rPr>
          <w:color w:val="6E6158"/>
        </w:rPr>
        <w:t>2026 San Antonio’s Best Litigation Lawyers, Scene in S.A., 2023</w:t>
      </w:r>
    </w:p>
    <w:p>
      <w:pPr>
        <w:pStyle w:val="Heading1"/>
        <w:spacing w:before="28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35"/>
        <w:ind w:left="0"/>
        <w:rPr>
          <w:b/>
        </w:rPr>
      </w:pPr>
    </w:p>
    <w:p>
      <w:pPr>
        <w:pStyle w:val="BodyText"/>
        <w:spacing w:line="292" w:lineRule="auto" w:before="1"/>
        <w:ind w:right="308"/>
      </w:pPr>
      <w:r>
        <w:rPr>
          <w:color w:val="6E6158"/>
        </w:rPr>
        <w:t>Co-Presenter, “Handling Employee Accommodations Requests,” management-side training </w:t>
      </w:r>
      <w:r>
        <w:rPr>
          <w:color w:val="6E6158"/>
        </w:rPr>
        <w:t>for corporate client, November 12, 2025</w:t>
      </w:r>
    </w:p>
    <w:p>
      <w:pPr>
        <w:pStyle w:val="BodyText"/>
        <w:spacing w:line="292" w:lineRule="auto" w:before="123"/>
        <w:ind w:right="236"/>
      </w:pPr>
      <w:r>
        <w:rPr>
          <w:color w:val="6E6158"/>
        </w:rPr>
        <w:t>Presenter,</w:t>
      </w:r>
      <w:r>
        <w:rPr>
          <w:color w:val="6E6158"/>
          <w:spacing w:val="15"/>
        </w:rPr>
        <w:t> </w:t>
      </w:r>
      <w:r>
        <w:rPr>
          <w:color w:val="6E6158"/>
        </w:rPr>
        <w:t>“The</w:t>
      </w:r>
      <w:r>
        <w:rPr>
          <w:color w:val="6E6158"/>
          <w:spacing w:val="15"/>
        </w:rPr>
        <w:t> </w:t>
      </w:r>
      <w:r>
        <w:rPr>
          <w:color w:val="6E6158"/>
        </w:rPr>
        <w:t>Paralegal’s</w:t>
      </w:r>
      <w:r>
        <w:rPr>
          <w:color w:val="6E6158"/>
          <w:spacing w:val="15"/>
        </w:rPr>
        <w:t> </w:t>
      </w:r>
      <w:r>
        <w:rPr>
          <w:color w:val="6E6158"/>
        </w:rPr>
        <w:t>Power:</w:t>
      </w:r>
      <w:r>
        <w:rPr>
          <w:color w:val="6E6158"/>
          <w:spacing w:val="15"/>
        </w:rPr>
        <w:t> </w:t>
      </w:r>
      <w:r>
        <w:rPr>
          <w:color w:val="6E6158"/>
        </w:rPr>
        <w:t>Management</w:t>
      </w:r>
      <w:r>
        <w:rPr>
          <w:color w:val="6E6158"/>
          <w:spacing w:val="15"/>
        </w:rPr>
        <w:t> </w:t>
      </w:r>
      <w:r>
        <w:rPr>
          <w:color w:val="6E6158"/>
        </w:rPr>
        <w:t>Side</w:t>
      </w:r>
      <w:r>
        <w:rPr>
          <w:color w:val="6E6158"/>
          <w:spacing w:val="15"/>
        </w:rPr>
        <w:t> </w:t>
      </w:r>
      <w:r>
        <w:rPr>
          <w:color w:val="6E6158"/>
        </w:rPr>
        <w:t>Strategies</w:t>
      </w:r>
      <w:r>
        <w:rPr>
          <w:color w:val="6E6158"/>
          <w:spacing w:val="15"/>
        </w:rPr>
        <w:t> </w:t>
      </w:r>
      <w:r>
        <w:rPr>
          <w:color w:val="6E6158"/>
        </w:rPr>
        <w:t>in</w:t>
      </w:r>
      <w:r>
        <w:rPr>
          <w:color w:val="6E6158"/>
          <w:spacing w:val="15"/>
        </w:rPr>
        <w:t> </w:t>
      </w:r>
      <w:r>
        <w:rPr>
          <w:color w:val="6E6158"/>
        </w:rPr>
        <w:t>Employment</w:t>
      </w:r>
      <w:r>
        <w:rPr>
          <w:color w:val="6E6158"/>
          <w:spacing w:val="15"/>
        </w:rPr>
        <w:t> </w:t>
      </w:r>
      <w:r>
        <w:rPr>
          <w:color w:val="6E6158"/>
        </w:rPr>
        <w:t>Law,”</w:t>
      </w:r>
      <w:r>
        <w:rPr>
          <w:color w:val="6E6158"/>
          <w:spacing w:val="15"/>
        </w:rPr>
        <w:t> </w:t>
      </w:r>
      <w:r>
        <w:rPr>
          <w:color w:val="6E6158"/>
        </w:rPr>
        <w:t>TAPS</w:t>
      </w:r>
      <w:r>
        <w:rPr>
          <w:color w:val="6E6158"/>
          <w:spacing w:val="15"/>
        </w:rPr>
        <w:t> </w:t>
      </w:r>
      <w:r>
        <w:rPr>
          <w:color w:val="6E6158"/>
        </w:rPr>
        <w:t>2025 – Texas Advanced Paralegal Seminar, September 24, 2025</w:t>
      </w:r>
    </w:p>
    <w:p>
      <w:pPr>
        <w:pStyle w:val="BodyText"/>
        <w:spacing w:line="292" w:lineRule="auto" w:before="131"/>
        <w:ind w:right="361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The Future of Remote Work</w:t>
        </w:r>
      </w:hyperlink>
      <w:r>
        <w:rPr>
          <w:color w:val="6E6158"/>
        </w:rPr>
        <w:t>,” The State Bar Litigation Section Report – 110 Advocate 39, Spring 2025.</w:t>
      </w:r>
    </w:p>
    <w:p>
      <w:pPr>
        <w:pStyle w:val="BodyText"/>
        <w:spacing w:line="292" w:lineRule="auto" w:before="124"/>
        <w:ind w:right="236"/>
      </w:pPr>
      <w:r>
        <w:rPr>
          <w:color w:val="6E6158"/>
        </w:rPr>
        <w:t>Presenter, “The Future of Remote Work and Artificial Intelligence in the Law,” Paralegal Division – State Bar of Texas CLE, April 30, 2025</w:t>
      </w:r>
    </w:p>
    <w:p>
      <w:pPr>
        <w:pStyle w:val="BodyText"/>
        <w:spacing w:line="292" w:lineRule="auto" w:before="131"/>
        <w:ind w:right="361"/>
      </w:pPr>
      <w:r>
        <w:rPr>
          <w:color w:val="6E6158"/>
        </w:rPr>
        <w:t>Author, “Alexa Hears with Her Little Ears – But Does She Have the Privilege?,” 52 ST. MARY’S L.J. 837, 2021</w:t>
      </w:r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Bexar</w:t>
      </w:r>
      <w:r>
        <w:rPr>
          <w:color w:val="6E6158"/>
          <w:spacing w:val="12"/>
        </w:rPr>
        <w:t> </w:t>
      </w:r>
      <w:r>
        <w:rPr>
          <w:color w:val="6E6158"/>
        </w:rPr>
        <w:t>County</w:t>
      </w:r>
      <w:r>
        <w:rPr>
          <w:color w:val="6E6158"/>
          <w:spacing w:val="12"/>
        </w:rPr>
        <w:t> </w:t>
      </w:r>
      <w:r>
        <w:rPr>
          <w:color w:val="6E6158"/>
        </w:rPr>
        <w:t>Women’s</w:t>
      </w:r>
      <w:r>
        <w:rPr>
          <w:color w:val="6E6158"/>
          <w:spacing w:val="12"/>
        </w:rPr>
        <w:t> </w:t>
      </w:r>
      <w:r>
        <w:rPr>
          <w:color w:val="6E6158"/>
        </w:rPr>
        <w:t>Bar</w:t>
      </w:r>
      <w:r>
        <w:rPr>
          <w:color w:val="6E6158"/>
          <w:spacing w:val="12"/>
        </w:rPr>
        <w:t> </w:t>
      </w:r>
      <w:r>
        <w:rPr>
          <w:color w:val="6E6158"/>
        </w:rPr>
        <w:t>Association</w:t>
      </w:r>
      <w:r>
        <w:rPr>
          <w:color w:val="6E6158"/>
          <w:spacing w:val="13"/>
        </w:rPr>
        <w:t> </w:t>
      </w:r>
      <w:r>
        <w:rPr>
          <w:color w:val="6E6158"/>
        </w:rPr>
        <w:t>LEAD</w:t>
      </w:r>
      <w:r>
        <w:rPr>
          <w:color w:val="6E6158"/>
          <w:spacing w:val="12"/>
        </w:rPr>
        <w:t> </w:t>
      </w:r>
      <w:r>
        <w:rPr>
          <w:color w:val="6E6158"/>
        </w:rPr>
        <w:t>Academy,</w:t>
      </w:r>
      <w:r>
        <w:rPr>
          <w:color w:val="6E6158"/>
          <w:spacing w:val="12"/>
        </w:rPr>
        <w:t> </w:t>
      </w:r>
      <w:r>
        <w:rPr>
          <w:color w:val="6E6158"/>
        </w:rPr>
        <w:t>Class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420" w:lineRule="auto" w:before="182"/>
        <w:ind w:right="1079"/>
      </w:pPr>
      <w:r>
        <w:rPr>
          <w:color w:val="6E6158"/>
        </w:rPr>
        <w:t>Secretary, Labor and Employment Law Section, San Antonio Bar Association, 2025 – </w:t>
      </w:r>
      <w:r>
        <w:rPr>
          <w:color w:val="6E6158"/>
        </w:rPr>
        <w:t>2026 Board Member, BecomeOne, a 501(c)(3) nonprofit organization, 2025 – Present</w:t>
      </w:r>
    </w:p>
    <w:p>
      <w:pPr>
        <w:pStyle w:val="BodyText"/>
        <w:spacing w:line="231" w:lineRule="exact"/>
      </w:pPr>
      <w:r>
        <w:rPr>
          <w:color w:val="6E6158"/>
        </w:rPr>
        <w:t>Member,</w:t>
      </w:r>
      <w:r>
        <w:rPr>
          <w:color w:val="6E6158"/>
          <w:spacing w:val="8"/>
        </w:rPr>
        <w:t> </w:t>
      </w:r>
      <w:r>
        <w:rPr>
          <w:color w:val="6E6158"/>
        </w:rPr>
        <w:t>San</w:t>
      </w:r>
      <w:r>
        <w:rPr>
          <w:color w:val="6E6158"/>
          <w:spacing w:val="9"/>
        </w:rPr>
        <w:t> </w:t>
      </w:r>
      <w:r>
        <w:rPr>
          <w:color w:val="6E6158"/>
        </w:rPr>
        <w:t>Antonio</w:t>
      </w:r>
      <w:r>
        <w:rPr>
          <w:color w:val="6E6158"/>
          <w:spacing w:val="9"/>
        </w:rPr>
        <w:t> </w:t>
      </w:r>
      <w:r>
        <w:rPr>
          <w:color w:val="6E6158"/>
        </w:rPr>
        <w:t>Bar</w:t>
      </w:r>
      <w:r>
        <w:rPr>
          <w:color w:val="6E6158"/>
          <w:spacing w:val="9"/>
        </w:rPr>
        <w:t> </w:t>
      </w:r>
      <w:r>
        <w:rPr>
          <w:color w:val="6E6158"/>
        </w:rPr>
        <w:t>Association,</w:t>
      </w:r>
      <w:r>
        <w:rPr>
          <w:color w:val="6E6158"/>
          <w:spacing w:val="9"/>
        </w:rPr>
        <w:t> </w:t>
      </w:r>
      <w:r>
        <w:rPr>
          <w:color w:val="6E6158"/>
        </w:rPr>
        <w:t>2022</w:t>
      </w:r>
      <w:r>
        <w:rPr>
          <w:color w:val="6E6158"/>
          <w:spacing w:val="9"/>
        </w:rPr>
        <w:t> </w:t>
      </w:r>
      <w:r>
        <w:rPr>
          <w:color w:val="6E6158"/>
        </w:rPr>
        <w:t>–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Present</w:t>
      </w:r>
    </w:p>
    <w:p>
      <w:pPr>
        <w:pStyle w:val="BodyText"/>
        <w:spacing w:line="427" w:lineRule="auto" w:before="174"/>
        <w:ind w:right="2550"/>
      </w:pPr>
      <w:r>
        <w:rPr>
          <w:color w:val="6E6158"/>
        </w:rPr>
        <w:t>Member, San Antonio Young Lawyers Association, 2021 – Present Volunteer,</w:t>
      </w:r>
      <w:r>
        <w:rPr>
          <w:color w:val="6E6158"/>
          <w:spacing w:val="8"/>
        </w:rPr>
        <w:t> </w:t>
      </w:r>
      <w:r>
        <w:rPr>
          <w:color w:val="6E6158"/>
        </w:rPr>
        <w:t>San</w:t>
      </w:r>
      <w:r>
        <w:rPr>
          <w:color w:val="6E6158"/>
          <w:spacing w:val="8"/>
        </w:rPr>
        <w:t> </w:t>
      </w:r>
      <w:r>
        <w:rPr>
          <w:color w:val="6E6158"/>
        </w:rPr>
        <w:t>Antonio</w:t>
      </w:r>
      <w:r>
        <w:rPr>
          <w:color w:val="6E6158"/>
          <w:spacing w:val="8"/>
        </w:rPr>
        <w:t> </w:t>
      </w:r>
      <w:r>
        <w:rPr>
          <w:color w:val="6E6158"/>
        </w:rPr>
        <w:t>Legal</w:t>
      </w:r>
      <w:r>
        <w:rPr>
          <w:color w:val="6E6158"/>
          <w:spacing w:val="8"/>
        </w:rPr>
        <w:t> </w:t>
      </w:r>
      <w:r>
        <w:rPr>
          <w:color w:val="6E6158"/>
        </w:rPr>
        <w:t>Services</w:t>
      </w:r>
      <w:r>
        <w:rPr>
          <w:color w:val="6E6158"/>
          <w:spacing w:val="8"/>
        </w:rPr>
        <w:t> </w:t>
      </w:r>
      <w:r>
        <w:rPr>
          <w:color w:val="6E6158"/>
        </w:rPr>
        <w:t>Association,</w:t>
      </w:r>
      <w:r>
        <w:rPr>
          <w:color w:val="6E6158"/>
          <w:spacing w:val="8"/>
        </w:rPr>
        <w:t> </w:t>
      </w:r>
      <w:r>
        <w:rPr>
          <w:color w:val="6E6158"/>
        </w:rPr>
        <w:t>2021</w:t>
      </w:r>
      <w:r>
        <w:rPr>
          <w:color w:val="6E6158"/>
          <w:spacing w:val="8"/>
        </w:rPr>
        <w:t> </w:t>
      </w:r>
      <w:r>
        <w:rPr>
          <w:color w:val="6E6158"/>
        </w:rPr>
        <w:t>–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Present</w:t>
      </w:r>
    </w:p>
    <w:p>
      <w:pPr>
        <w:pStyle w:val="BodyText"/>
        <w:spacing w:after="0" w:line="427" w:lineRule="auto"/>
        <w:sectPr>
          <w:pgSz w:w="12240" w:h="15840"/>
          <w:pgMar w:top="580" w:bottom="280" w:left="1440" w:right="1440"/>
        </w:sectPr>
      </w:pPr>
    </w:p>
    <w:p>
      <w:pPr>
        <w:pStyle w:val="BodyText"/>
        <w:spacing w:line="420" w:lineRule="auto" w:before="83"/>
        <w:ind w:right="1079"/>
      </w:pPr>
      <w:r>
        <w:rPr>
          <w:color w:val="6E6158"/>
        </w:rPr>
        <w:t>Volunteer, St. Mary’s University School of Law Office of Career Strategy, 2021 – Present Member, Bexar County Women’s Bar Association, 2023 – Present</w:t>
      </w:r>
    </w:p>
    <w:p>
      <w:pPr>
        <w:pStyle w:val="BodyText"/>
        <w:spacing w:before="7"/>
      </w:pPr>
      <w:r>
        <w:rPr>
          <w:color w:val="6E6158"/>
        </w:rPr>
        <w:t>Member,</w:t>
      </w:r>
      <w:r>
        <w:rPr>
          <w:color w:val="6E6158"/>
          <w:spacing w:val="5"/>
        </w:rPr>
        <w:t> </w:t>
      </w:r>
      <w:r>
        <w:rPr>
          <w:color w:val="6E6158"/>
        </w:rPr>
        <w:t>Young</w:t>
      </w:r>
      <w:r>
        <w:rPr>
          <w:color w:val="6E6158"/>
          <w:spacing w:val="6"/>
        </w:rPr>
        <w:t> </w:t>
      </w:r>
      <w:r>
        <w:rPr>
          <w:color w:val="6E6158"/>
        </w:rPr>
        <w:t>Aggies</w:t>
      </w:r>
      <w:r>
        <w:rPr>
          <w:color w:val="6E6158"/>
          <w:spacing w:val="6"/>
        </w:rPr>
        <w:t> </w:t>
      </w:r>
      <w:r>
        <w:rPr>
          <w:color w:val="6E6158"/>
        </w:rPr>
        <w:t>of</w:t>
      </w:r>
      <w:r>
        <w:rPr>
          <w:color w:val="6E6158"/>
          <w:spacing w:val="6"/>
        </w:rPr>
        <w:t> </w:t>
      </w:r>
      <w:r>
        <w:rPr>
          <w:color w:val="6E6158"/>
        </w:rPr>
        <w:t>San</w:t>
      </w:r>
      <w:r>
        <w:rPr>
          <w:color w:val="6E6158"/>
          <w:spacing w:val="6"/>
        </w:rPr>
        <w:t> </w:t>
      </w:r>
      <w:r>
        <w:rPr>
          <w:color w:val="6E6158"/>
        </w:rPr>
        <w:t>Antonio,</w:t>
      </w:r>
      <w:r>
        <w:rPr>
          <w:color w:val="6E6158"/>
          <w:spacing w:val="6"/>
        </w:rPr>
        <w:t> </w:t>
      </w:r>
      <w:r>
        <w:rPr>
          <w:color w:val="6E6158"/>
        </w:rPr>
        <w:t>2017</w:t>
      </w:r>
      <w:r>
        <w:rPr>
          <w:color w:val="6E6158"/>
          <w:spacing w:val="5"/>
        </w:rPr>
        <w:t> </w:t>
      </w:r>
      <w:r>
        <w:rPr>
          <w:color w:val="6E6158"/>
        </w:rPr>
        <w:t>–</w:t>
      </w:r>
      <w:r>
        <w:rPr>
          <w:color w:val="6E6158"/>
          <w:spacing w:val="6"/>
        </w:rPr>
        <w:t> </w:t>
      </w:r>
      <w:r>
        <w:rPr>
          <w:color w:val="6E6158"/>
          <w:spacing w:val="-2"/>
        </w:rPr>
        <w:t>Present</w:t>
      </w:r>
    </w:p>
    <w:p>
      <w:pPr>
        <w:pStyle w:val="BodyText"/>
        <w:spacing w:before="174"/>
      </w:pPr>
      <w:r>
        <w:rPr>
          <w:color w:val="6E6158"/>
        </w:rPr>
        <w:t>Past</w:t>
      </w:r>
      <w:r>
        <w:rPr>
          <w:color w:val="6E6158"/>
          <w:spacing w:val="8"/>
        </w:rPr>
        <w:t> </w:t>
      </w:r>
      <w:r>
        <w:rPr>
          <w:color w:val="6E6158"/>
        </w:rPr>
        <w:t>Member,</w:t>
      </w:r>
      <w:r>
        <w:rPr>
          <w:color w:val="6E6158"/>
          <w:spacing w:val="9"/>
        </w:rPr>
        <w:t> </w:t>
      </w:r>
      <w:r>
        <w:rPr>
          <w:color w:val="6E6158"/>
        </w:rPr>
        <w:t>Texas</w:t>
      </w:r>
      <w:r>
        <w:rPr>
          <w:color w:val="6E6158"/>
          <w:spacing w:val="9"/>
        </w:rPr>
        <w:t> </w:t>
      </w:r>
      <w:r>
        <w:rPr>
          <w:color w:val="6E6158"/>
        </w:rPr>
        <w:t>Association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Defense</w:t>
      </w:r>
      <w:r>
        <w:rPr>
          <w:color w:val="6E6158"/>
          <w:spacing w:val="9"/>
        </w:rPr>
        <w:t> </w:t>
      </w:r>
      <w:r>
        <w:rPr>
          <w:color w:val="6E6158"/>
        </w:rPr>
        <w:t>Counsel,</w:t>
      </w:r>
      <w:r>
        <w:rPr>
          <w:color w:val="6E6158"/>
          <w:spacing w:val="9"/>
        </w:rPr>
        <w:t> </w:t>
      </w:r>
      <w:r>
        <w:rPr>
          <w:color w:val="6E6158"/>
        </w:rPr>
        <w:t>2022</w:t>
      </w:r>
      <w:r>
        <w:rPr>
          <w:color w:val="6E6158"/>
          <w:spacing w:val="8"/>
        </w:rPr>
        <w:t> </w:t>
      </w:r>
      <w:r>
        <w:rPr>
          <w:color w:val="6E6158"/>
        </w:rPr>
        <w:t>–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before="174"/>
      </w:pPr>
      <w:r>
        <w:rPr>
          <w:color w:val="6E6158"/>
        </w:rPr>
        <w:t>Past</w:t>
      </w:r>
      <w:r>
        <w:rPr>
          <w:color w:val="6E6158"/>
          <w:spacing w:val="9"/>
        </w:rPr>
        <w:t> </w:t>
      </w:r>
      <w:r>
        <w:rPr>
          <w:color w:val="6E6158"/>
        </w:rPr>
        <w:t>Student</w:t>
      </w:r>
      <w:r>
        <w:rPr>
          <w:color w:val="6E6158"/>
          <w:spacing w:val="10"/>
        </w:rPr>
        <w:t> </w:t>
      </w:r>
      <w:r>
        <w:rPr>
          <w:color w:val="6E6158"/>
        </w:rPr>
        <w:t>Member,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Honorable</w:t>
      </w:r>
      <w:r>
        <w:rPr>
          <w:color w:val="6E6158"/>
          <w:spacing w:val="10"/>
        </w:rPr>
        <w:t> </w:t>
      </w:r>
      <w:r>
        <w:rPr>
          <w:color w:val="6E6158"/>
        </w:rPr>
        <w:t>Larry</w:t>
      </w:r>
      <w:r>
        <w:rPr>
          <w:color w:val="6E6158"/>
          <w:spacing w:val="10"/>
        </w:rPr>
        <w:t> </w:t>
      </w:r>
      <w:r>
        <w:rPr>
          <w:color w:val="6E6158"/>
        </w:rPr>
        <w:t>E.</w:t>
      </w:r>
      <w:r>
        <w:rPr>
          <w:color w:val="6E6158"/>
          <w:spacing w:val="10"/>
        </w:rPr>
        <w:t> </w:t>
      </w:r>
      <w:r>
        <w:rPr>
          <w:color w:val="6E6158"/>
        </w:rPr>
        <w:t>Kelly</w:t>
      </w:r>
      <w:r>
        <w:rPr>
          <w:color w:val="6E6158"/>
          <w:spacing w:val="10"/>
        </w:rPr>
        <w:t> </w:t>
      </w:r>
      <w:r>
        <w:rPr>
          <w:color w:val="6E6158"/>
        </w:rPr>
        <w:t>Bankruptcy</w:t>
      </w:r>
      <w:r>
        <w:rPr>
          <w:color w:val="6E6158"/>
          <w:spacing w:val="9"/>
        </w:rPr>
        <w:t> </w:t>
      </w:r>
      <w:r>
        <w:rPr>
          <w:color w:val="6E6158"/>
        </w:rPr>
        <w:t>American</w:t>
      </w:r>
      <w:r>
        <w:rPr>
          <w:color w:val="6E6158"/>
          <w:spacing w:val="10"/>
        </w:rPr>
        <w:t> </w:t>
      </w:r>
      <w:r>
        <w:rPr>
          <w:color w:val="6E6158"/>
        </w:rPr>
        <w:t>Inn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2020</w:t>
      </w:r>
      <w:r>
        <w:rPr>
          <w:color w:val="6E6158"/>
          <w:spacing w:val="10"/>
        </w:rPr>
        <w:t> </w:t>
      </w:r>
      <w:r>
        <w:rPr>
          <w:color w:val="6E6158"/>
        </w:rPr>
        <w:t>–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Texas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Southern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Western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Texas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mployment-and-labor-relations/" TargetMode="External"/><Relationship Id="rId9" Type="http://schemas.openxmlformats.org/officeDocument/2006/relationships/hyperlink" Target="https://www.fennemorelaw.com/contact-us/san-antonio/" TargetMode="External"/><Relationship Id="rId10" Type="http://schemas.openxmlformats.org/officeDocument/2006/relationships/hyperlink" Target="mailto:lhowell@fennemorelaw.com" TargetMode="External"/><Relationship Id="rId11" Type="http://schemas.openxmlformats.org/officeDocument/2006/relationships/hyperlink" Target="https://sr-llp.com/wp-content/uploads/2025/04/The-Future-of-Remote-Work.pdf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Lauren Howell - Fennemore</dc:title>
  <dcterms:created xsi:type="dcterms:W3CDTF">2026-09-04T21:26:06Z</dcterms:created>
  <dcterms:modified xsi:type="dcterms:W3CDTF">2026-09-04T21:26:06Z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