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LisaFayePetak Bio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27450" y="1369338"/>
                            <a:ext cx="1850389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0389" h="320675">
                                <a:moveTo>
                                  <a:pt x="1849894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849894" y="320382"/>
                                </a:lnTo>
                                <a:lnTo>
                                  <a:pt x="1849894" y="315214"/>
                                </a:lnTo>
                                <a:close/>
                              </a:path>
                              <a:path w="1850389" h="320675">
                                <a:moveTo>
                                  <a:pt x="18498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849894" y="5168"/>
                                </a:lnTo>
                                <a:lnTo>
                                  <a:pt x="18498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LISA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FAYE</w:t>
                              </w:r>
                              <w:r>
                                <w:rPr>
                                  <w:color w:val="FFFFFF"/>
                                  <w:spacing w:val="-20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PETAK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Counsel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Trusts &amp;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Estates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Santa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Barbara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627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805.420.6007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805.420.6001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lpetak@fennemorelaw.com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LisaFayePetak Bio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712;top:2156;width:2914;height:505" id="docshape5" coordorigin="5713,2156" coordsize="2914,505" path="m8626,2653l5713,2653,5713,2661,8626,2661,8626,2653xm8626,2156l5713,2156,5713,2165,8626,2165,8626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LISA</w:t>
                        </w:r>
                        <w:r>
                          <w:rPr>
                            <w:color w:val="FFFFFF"/>
                            <w:spacing w:val="-20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FAYE</w:t>
                        </w:r>
                        <w:r>
                          <w:rPr>
                            <w:color w:val="FFFFFF"/>
                            <w:spacing w:val="-20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PETAK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Counsel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Trusts &amp;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Estates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Santa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Barbara</w:t>
                          </w:r>
                        </w:hyperlink>
                      </w:p>
                      <w:p>
                        <w:pPr>
                          <w:tabs>
                            <w:tab w:pos="1627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805.420.6007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805.420.6001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lpetak@fennemorelaw.com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Heading1"/>
        <w:spacing w:before="67"/>
      </w:pPr>
      <w:r>
        <w:rPr>
          <w:color w:val="FF8100"/>
        </w:rPr>
        <w:t>LISA</w:t>
      </w:r>
      <w:r>
        <w:rPr>
          <w:color w:val="FF8100"/>
          <w:spacing w:val="6"/>
        </w:rPr>
        <w:t> </w:t>
      </w:r>
      <w:r>
        <w:rPr>
          <w:color w:val="FF8100"/>
        </w:rPr>
        <w:t>FAYE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PETAK</w:t>
      </w:r>
    </w:p>
    <w:p>
      <w:pPr>
        <w:pStyle w:val="BodyText"/>
        <w:spacing w:line="302" w:lineRule="auto" w:before="147"/>
        <w:ind w:right="639"/>
      </w:pPr>
      <w:r>
        <w:rPr>
          <w:color w:val="6E6158"/>
        </w:rPr>
        <w:t>Lisa Faye Petak is an Of Counsel attorney in Fennemore’s Trust &amp; Estates practice group, where</w:t>
      </w:r>
      <w:r>
        <w:rPr>
          <w:color w:val="6E6158"/>
          <w:spacing w:val="40"/>
        </w:rPr>
        <w:t> </w:t>
      </w:r>
      <w:r>
        <w:rPr>
          <w:color w:val="6E6158"/>
        </w:rPr>
        <w:t>she</w:t>
      </w:r>
      <w:r>
        <w:rPr>
          <w:color w:val="6E6158"/>
          <w:spacing w:val="22"/>
        </w:rPr>
        <w:t> </w:t>
      </w:r>
      <w:r>
        <w:rPr>
          <w:color w:val="6E6158"/>
        </w:rPr>
        <w:t>specializes</w:t>
      </w:r>
      <w:r>
        <w:rPr>
          <w:color w:val="6E6158"/>
          <w:spacing w:val="22"/>
        </w:rPr>
        <w:t> </w:t>
      </w:r>
      <w:r>
        <w:rPr>
          <w:color w:val="6E6158"/>
        </w:rPr>
        <w:t>in</w:t>
      </w:r>
      <w:r>
        <w:rPr>
          <w:color w:val="6E6158"/>
          <w:spacing w:val="22"/>
        </w:rPr>
        <w:t> </w:t>
      </w:r>
      <w:r>
        <w:rPr>
          <w:color w:val="6E6158"/>
        </w:rPr>
        <w:t>trust</w:t>
      </w:r>
      <w:r>
        <w:rPr>
          <w:color w:val="6E6158"/>
          <w:spacing w:val="22"/>
        </w:rPr>
        <w:t> </w:t>
      </w:r>
      <w:r>
        <w:rPr>
          <w:color w:val="6E6158"/>
        </w:rPr>
        <w:t>and</w:t>
      </w:r>
      <w:r>
        <w:rPr>
          <w:color w:val="6E6158"/>
          <w:spacing w:val="22"/>
        </w:rPr>
        <w:t> </w:t>
      </w:r>
      <w:r>
        <w:rPr>
          <w:color w:val="6E6158"/>
        </w:rPr>
        <w:t>estate</w:t>
      </w:r>
      <w:r>
        <w:rPr>
          <w:color w:val="6E6158"/>
          <w:spacing w:val="22"/>
        </w:rPr>
        <w:t> </w:t>
      </w:r>
      <w:r>
        <w:rPr>
          <w:color w:val="6E6158"/>
        </w:rPr>
        <w:t>litigation.</w:t>
      </w:r>
      <w:r>
        <w:rPr>
          <w:color w:val="6E6158"/>
          <w:spacing w:val="22"/>
        </w:rPr>
        <w:t> </w:t>
      </w:r>
      <w:r>
        <w:rPr>
          <w:color w:val="6E6158"/>
        </w:rPr>
        <w:t>From</w:t>
      </w:r>
      <w:r>
        <w:rPr>
          <w:color w:val="6E6158"/>
          <w:spacing w:val="22"/>
        </w:rPr>
        <w:t> </w:t>
      </w:r>
      <w:r>
        <w:rPr>
          <w:color w:val="6E6158"/>
        </w:rPr>
        <w:t>investigation</w:t>
      </w:r>
      <w:r>
        <w:rPr>
          <w:color w:val="6E6158"/>
          <w:spacing w:val="22"/>
        </w:rPr>
        <w:t> </w:t>
      </w:r>
      <w:r>
        <w:rPr>
          <w:color w:val="6E6158"/>
        </w:rPr>
        <w:t>to</w:t>
      </w:r>
      <w:r>
        <w:rPr>
          <w:color w:val="6E6158"/>
          <w:spacing w:val="22"/>
        </w:rPr>
        <w:t> </w:t>
      </w:r>
      <w:r>
        <w:rPr>
          <w:color w:val="6E6158"/>
        </w:rPr>
        <w:t>mediation</w:t>
      </w:r>
      <w:r>
        <w:rPr>
          <w:color w:val="6E6158"/>
          <w:spacing w:val="22"/>
        </w:rPr>
        <w:t> </w:t>
      </w:r>
      <w:r>
        <w:rPr>
          <w:color w:val="6E6158"/>
        </w:rPr>
        <w:t>or</w:t>
      </w:r>
      <w:r>
        <w:rPr>
          <w:color w:val="6E6158"/>
          <w:spacing w:val="22"/>
        </w:rPr>
        <w:t> </w:t>
      </w:r>
      <w:r>
        <w:rPr>
          <w:color w:val="6E6158"/>
        </w:rPr>
        <w:t>trial,</w:t>
      </w:r>
      <w:r>
        <w:rPr>
          <w:color w:val="6E6158"/>
          <w:spacing w:val="22"/>
        </w:rPr>
        <w:t> </w:t>
      </w:r>
      <w:r>
        <w:rPr>
          <w:color w:val="6E6158"/>
        </w:rPr>
        <w:t>Lisa</w:t>
      </w:r>
      <w:r>
        <w:rPr>
          <w:color w:val="6E6158"/>
          <w:spacing w:val="22"/>
        </w:rPr>
        <w:t> </w:t>
      </w:r>
      <w:r>
        <w:rPr>
          <w:color w:val="6E6158"/>
        </w:rPr>
        <w:t>guides</w:t>
      </w:r>
    </w:p>
    <w:p>
      <w:pPr>
        <w:pStyle w:val="BodyText"/>
        <w:spacing w:line="292" w:lineRule="auto"/>
        <w:ind w:right="64"/>
      </w:pPr>
      <w:r>
        <w:rPr>
          <w:color w:val="6E6158"/>
        </w:rPr>
        <w:t>beneficiaries, trustees, and professional fiduciaries through every phase of the trust and </w:t>
      </w:r>
      <w:r>
        <w:rPr>
          <w:color w:val="6E6158"/>
        </w:rPr>
        <w:t>probate</w:t>
      </w:r>
      <w:r>
        <w:rPr>
          <w:color w:val="6E6158"/>
          <w:spacing w:val="40"/>
        </w:rPr>
        <w:t> </w:t>
      </w:r>
      <w:r>
        <w:rPr>
          <w:color w:val="6E6158"/>
        </w:rPr>
        <w:t>litigation</w:t>
      </w:r>
      <w:r>
        <w:rPr>
          <w:color w:val="6E6158"/>
          <w:spacing w:val="27"/>
        </w:rPr>
        <w:t> </w:t>
      </w:r>
      <w:r>
        <w:rPr>
          <w:color w:val="6E6158"/>
        </w:rPr>
        <w:t>process.</w:t>
      </w:r>
      <w:r>
        <w:rPr>
          <w:color w:val="6E6158"/>
          <w:spacing w:val="27"/>
        </w:rPr>
        <w:t> </w:t>
      </w:r>
      <w:r>
        <w:rPr>
          <w:color w:val="6E6158"/>
        </w:rPr>
        <w:t>In</w:t>
      </w:r>
      <w:r>
        <w:rPr>
          <w:color w:val="6E6158"/>
          <w:spacing w:val="27"/>
        </w:rPr>
        <w:t> </w:t>
      </w:r>
      <w:r>
        <w:rPr>
          <w:color w:val="6E6158"/>
        </w:rPr>
        <w:t>addition</w:t>
      </w:r>
      <w:r>
        <w:rPr>
          <w:color w:val="6E6158"/>
          <w:spacing w:val="27"/>
        </w:rPr>
        <w:t> </w:t>
      </w:r>
      <w:r>
        <w:rPr>
          <w:color w:val="6E6158"/>
        </w:rPr>
        <w:t>to</w:t>
      </w:r>
      <w:r>
        <w:rPr>
          <w:color w:val="6E6158"/>
          <w:spacing w:val="27"/>
        </w:rPr>
        <w:t> </w:t>
      </w:r>
      <w:r>
        <w:rPr>
          <w:color w:val="6E6158"/>
        </w:rPr>
        <w:t>her</w:t>
      </w:r>
      <w:r>
        <w:rPr>
          <w:color w:val="6E6158"/>
          <w:spacing w:val="27"/>
        </w:rPr>
        <w:t> </w:t>
      </w:r>
      <w:r>
        <w:rPr>
          <w:color w:val="6E6158"/>
        </w:rPr>
        <w:t>T&amp;E</w:t>
      </w:r>
      <w:r>
        <w:rPr>
          <w:color w:val="6E6158"/>
          <w:spacing w:val="27"/>
        </w:rPr>
        <w:t> </w:t>
      </w:r>
      <w:r>
        <w:rPr>
          <w:color w:val="6E6158"/>
        </w:rPr>
        <w:t>work,</w:t>
      </w:r>
      <w:r>
        <w:rPr>
          <w:color w:val="6E6158"/>
          <w:spacing w:val="27"/>
        </w:rPr>
        <w:t> </w:t>
      </w:r>
      <w:r>
        <w:rPr>
          <w:color w:val="6E6158"/>
        </w:rPr>
        <w:t>Lisa’s</w:t>
      </w:r>
      <w:r>
        <w:rPr>
          <w:color w:val="6E6158"/>
          <w:spacing w:val="27"/>
        </w:rPr>
        <w:t> </w:t>
      </w:r>
      <w:r>
        <w:rPr>
          <w:color w:val="6E6158"/>
        </w:rPr>
        <w:t>practice</w:t>
      </w:r>
      <w:r>
        <w:rPr>
          <w:color w:val="6E6158"/>
          <w:spacing w:val="27"/>
        </w:rPr>
        <w:t> </w:t>
      </w:r>
      <w:r>
        <w:rPr>
          <w:color w:val="6E6158"/>
        </w:rPr>
        <w:t>also</w:t>
      </w:r>
      <w:r>
        <w:rPr>
          <w:color w:val="6E6158"/>
          <w:spacing w:val="27"/>
        </w:rPr>
        <w:t> </w:t>
      </w:r>
      <w:r>
        <w:rPr>
          <w:color w:val="6E6158"/>
        </w:rPr>
        <w:t>includes</w:t>
      </w:r>
      <w:r>
        <w:rPr>
          <w:color w:val="6E6158"/>
          <w:spacing w:val="27"/>
        </w:rPr>
        <w:t> </w:t>
      </w:r>
      <w:r>
        <w:rPr>
          <w:color w:val="6E6158"/>
        </w:rPr>
        <w:t>real</w:t>
      </w:r>
      <w:r>
        <w:rPr>
          <w:color w:val="6E6158"/>
          <w:spacing w:val="27"/>
        </w:rPr>
        <w:t> </w:t>
      </w:r>
      <w:r>
        <w:rPr>
          <w:color w:val="6E6158"/>
        </w:rPr>
        <w:t>estate</w:t>
      </w:r>
      <w:r>
        <w:rPr>
          <w:color w:val="6E6158"/>
          <w:spacing w:val="27"/>
        </w:rPr>
        <w:t> </w:t>
      </w:r>
      <w:r>
        <w:rPr>
          <w:color w:val="6E6158"/>
        </w:rPr>
        <w:t>litigation</w:t>
      </w:r>
    </w:p>
    <w:p>
      <w:pPr>
        <w:pStyle w:val="BodyText"/>
      </w:pPr>
      <w:r>
        <w:rPr>
          <w:color w:val="6E6158"/>
        </w:rPr>
        <w:t>and,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particular,</w:t>
      </w:r>
      <w:r>
        <w:rPr>
          <w:color w:val="6E6158"/>
          <w:spacing w:val="13"/>
        </w:rPr>
        <w:t> </w:t>
      </w:r>
      <w:r>
        <w:rPr>
          <w:color w:val="6E6158"/>
        </w:rPr>
        <w:t>residential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commercial</w:t>
      </w:r>
      <w:r>
        <w:rPr>
          <w:color w:val="6E6158"/>
          <w:spacing w:val="13"/>
        </w:rPr>
        <w:t> </w:t>
      </w:r>
      <w:r>
        <w:rPr>
          <w:color w:val="6E6158"/>
        </w:rPr>
        <w:t>landlord-tenant</w:t>
      </w:r>
      <w:r>
        <w:rPr>
          <w:color w:val="6E6158"/>
          <w:spacing w:val="13"/>
        </w:rPr>
        <w:t> </w:t>
      </w:r>
      <w:r>
        <w:rPr>
          <w:color w:val="6E6158"/>
        </w:rPr>
        <w:t>advising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</w:rPr>
        <w:t>dispute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resolution.</w:t>
      </w:r>
    </w:p>
    <w:p>
      <w:pPr>
        <w:pStyle w:val="BodyText"/>
        <w:spacing w:before="14"/>
        <w:ind w:left="0"/>
      </w:pPr>
    </w:p>
    <w:p>
      <w:pPr>
        <w:pStyle w:val="BodyText"/>
        <w:spacing w:line="295" w:lineRule="auto"/>
        <w:ind w:right="559"/>
      </w:pPr>
      <w:r>
        <w:rPr>
          <w:color w:val="6E6158"/>
        </w:rPr>
        <w:t>Lisa has over 10 years of experience in the legal industry. Prior to joining Fennemore, she was a</w:t>
      </w:r>
      <w:r>
        <w:rPr>
          <w:color w:val="6E6158"/>
          <w:spacing w:val="40"/>
        </w:rPr>
        <w:t> </w:t>
      </w:r>
      <w:r>
        <w:rPr>
          <w:color w:val="6E6158"/>
        </w:rPr>
        <w:t>litigation associate at Mullen &amp; Henzell L.L.P., where she defended depositions, argued motions</w:t>
      </w:r>
      <w:r>
        <w:rPr>
          <w:color w:val="6E6158"/>
          <w:spacing w:val="40"/>
        </w:rPr>
        <w:t> </w:t>
      </w:r>
      <w:r>
        <w:rPr>
          <w:color w:val="6E6158"/>
        </w:rPr>
        <w:t>and petitions, and represented her clients at mediations and bench trials across Ventura, Santa</w:t>
      </w:r>
      <w:r>
        <w:rPr>
          <w:color w:val="6E6158"/>
          <w:spacing w:val="40"/>
        </w:rPr>
        <w:t> </w:t>
      </w:r>
      <w:r>
        <w:rPr>
          <w:color w:val="6E6158"/>
        </w:rPr>
        <w:t>Barbara, and Los Angeles Counties. She also litigated plaintiff-side consumer and </w:t>
      </w:r>
      <w:r>
        <w:rPr>
          <w:color w:val="6E6158"/>
        </w:rPr>
        <w:t>environmental</w:t>
      </w:r>
      <w:r>
        <w:rPr>
          <w:color w:val="6E6158"/>
          <w:spacing w:val="40"/>
        </w:rPr>
        <w:t> </w:t>
      </w:r>
      <w:r>
        <w:rPr>
          <w:color w:val="6E6158"/>
        </w:rPr>
        <w:t>class actions with a Seattle-based firm and served as a judicial law clerk for the Honorable Otis.</w:t>
      </w:r>
      <w:r>
        <w:rPr>
          <w:color w:val="6E6158"/>
          <w:spacing w:val="40"/>
        </w:rPr>
        <w:t> </w:t>
      </w:r>
      <w:r>
        <w:rPr>
          <w:color w:val="6E6158"/>
        </w:rPr>
        <w:t>Wright II of the United States District Court, Central District of California.</w:t>
      </w:r>
    </w:p>
    <w:p>
      <w:pPr>
        <w:pStyle w:val="BodyText"/>
        <w:spacing w:line="302" w:lineRule="auto" w:before="193"/>
      </w:pPr>
      <w:r>
        <w:rPr>
          <w:color w:val="6E6158"/>
        </w:rPr>
        <w:t>Lisa earned her law degree from the University of California, Irvine School of Law. There, she was</w:t>
      </w:r>
      <w:r>
        <w:rPr>
          <w:color w:val="6E6158"/>
          <w:spacing w:val="40"/>
        </w:rPr>
        <w:t> </w:t>
      </w:r>
      <w:r>
        <w:rPr>
          <w:color w:val="6E6158"/>
        </w:rPr>
        <w:t>awarded</w:t>
      </w:r>
      <w:r>
        <w:rPr>
          <w:color w:val="6E6158"/>
          <w:spacing w:val="27"/>
        </w:rPr>
        <w:t> </w:t>
      </w:r>
      <w:r>
        <w:rPr>
          <w:color w:val="6E6158"/>
        </w:rPr>
        <w:t>Best</w:t>
      </w:r>
      <w:r>
        <w:rPr>
          <w:color w:val="6E6158"/>
          <w:spacing w:val="27"/>
        </w:rPr>
        <w:t> </w:t>
      </w:r>
      <w:r>
        <w:rPr>
          <w:color w:val="6E6158"/>
        </w:rPr>
        <w:t>Advocate</w:t>
      </w:r>
      <w:r>
        <w:rPr>
          <w:color w:val="6E6158"/>
          <w:spacing w:val="27"/>
        </w:rPr>
        <w:t> </w:t>
      </w:r>
      <w:r>
        <w:rPr>
          <w:color w:val="6E6158"/>
        </w:rPr>
        <w:t>in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UC</w:t>
      </w:r>
      <w:r>
        <w:rPr>
          <w:color w:val="6E6158"/>
          <w:spacing w:val="27"/>
        </w:rPr>
        <w:t> </w:t>
      </w:r>
      <w:r>
        <w:rPr>
          <w:color w:val="6E6158"/>
        </w:rPr>
        <w:t>Irvine</w:t>
      </w:r>
      <w:r>
        <w:rPr>
          <w:color w:val="6E6158"/>
          <w:spacing w:val="27"/>
        </w:rPr>
        <w:t> </w:t>
      </w:r>
      <w:r>
        <w:rPr>
          <w:color w:val="6E6158"/>
        </w:rPr>
        <w:t>School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Law</w:t>
      </w:r>
      <w:r>
        <w:rPr>
          <w:color w:val="6E6158"/>
          <w:spacing w:val="27"/>
        </w:rPr>
        <w:t> </w:t>
      </w:r>
      <w:r>
        <w:rPr>
          <w:color w:val="6E6158"/>
        </w:rPr>
        <w:t>Moot</w:t>
      </w:r>
      <w:r>
        <w:rPr>
          <w:color w:val="6E6158"/>
          <w:spacing w:val="27"/>
        </w:rPr>
        <w:t> </w:t>
      </w:r>
      <w:r>
        <w:rPr>
          <w:color w:val="6E6158"/>
        </w:rPr>
        <w:t>Court</w:t>
      </w:r>
      <w:r>
        <w:rPr>
          <w:color w:val="6E6158"/>
          <w:spacing w:val="27"/>
        </w:rPr>
        <w:t> </w:t>
      </w:r>
      <w:r>
        <w:rPr>
          <w:color w:val="6E6158"/>
        </w:rPr>
        <w:t>Competition,</w:t>
      </w:r>
      <w:r>
        <w:rPr>
          <w:color w:val="6E6158"/>
          <w:spacing w:val="27"/>
        </w:rPr>
        <w:t> </w:t>
      </w:r>
      <w:r>
        <w:rPr>
          <w:color w:val="6E6158"/>
        </w:rPr>
        <w:t>served</w:t>
      </w:r>
      <w:r>
        <w:rPr>
          <w:color w:val="6E6158"/>
          <w:spacing w:val="27"/>
        </w:rPr>
        <w:t> </w:t>
      </w:r>
      <w:r>
        <w:rPr>
          <w:color w:val="6E6158"/>
        </w:rPr>
        <w:t>as</w:t>
      </w:r>
    </w:p>
    <w:p>
      <w:pPr>
        <w:pStyle w:val="BodyText"/>
        <w:spacing w:line="295" w:lineRule="auto"/>
        <w:ind w:right="639"/>
      </w:pPr>
      <w:r>
        <w:rPr>
          <w:color w:val="6E6158"/>
        </w:rPr>
        <w:t>President</w:t>
      </w:r>
      <w:r>
        <w:rPr>
          <w:color w:val="6E6158"/>
          <w:spacing w:val="28"/>
        </w:rPr>
        <w:t> </w:t>
      </w:r>
      <w:r>
        <w:rPr>
          <w:color w:val="6E6158"/>
        </w:rPr>
        <w:t>of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Student</w:t>
      </w:r>
      <w:r>
        <w:rPr>
          <w:color w:val="6E6158"/>
          <w:spacing w:val="28"/>
        </w:rPr>
        <w:t> </w:t>
      </w:r>
      <w:r>
        <w:rPr>
          <w:color w:val="6E6158"/>
        </w:rPr>
        <w:t>Bar</w:t>
      </w:r>
      <w:r>
        <w:rPr>
          <w:color w:val="6E6158"/>
          <w:spacing w:val="28"/>
        </w:rPr>
        <w:t> </w:t>
      </w:r>
      <w:r>
        <w:rPr>
          <w:color w:val="6E6158"/>
        </w:rPr>
        <w:t>Association,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graduated</w:t>
      </w:r>
      <w:r>
        <w:rPr>
          <w:color w:val="6E6158"/>
          <w:spacing w:val="28"/>
        </w:rPr>
        <w:t> </w:t>
      </w:r>
      <w:r>
        <w:rPr>
          <w:color w:val="6E6158"/>
        </w:rPr>
        <w:t>with</w:t>
      </w:r>
      <w:r>
        <w:rPr>
          <w:color w:val="6E6158"/>
          <w:spacing w:val="28"/>
        </w:rPr>
        <w:t> </w:t>
      </w:r>
      <w:r>
        <w:rPr>
          <w:color w:val="6E6158"/>
        </w:rPr>
        <w:t>Pro</w:t>
      </w:r>
      <w:r>
        <w:rPr>
          <w:color w:val="6E6158"/>
          <w:spacing w:val="28"/>
        </w:rPr>
        <w:t> </w:t>
      </w:r>
      <w:r>
        <w:rPr>
          <w:color w:val="6E6158"/>
        </w:rPr>
        <w:t>Bono</w:t>
      </w:r>
      <w:r>
        <w:rPr>
          <w:color w:val="6E6158"/>
          <w:spacing w:val="28"/>
        </w:rPr>
        <w:t> </w:t>
      </w:r>
      <w:r>
        <w:rPr>
          <w:color w:val="6E6158"/>
        </w:rPr>
        <w:t>High</w:t>
      </w:r>
      <w:r>
        <w:rPr>
          <w:color w:val="6E6158"/>
          <w:spacing w:val="28"/>
        </w:rPr>
        <w:t> </w:t>
      </w:r>
      <w:r>
        <w:rPr>
          <w:color w:val="6E6158"/>
        </w:rPr>
        <w:t>Honors</w:t>
      </w:r>
      <w:r>
        <w:rPr>
          <w:color w:val="6E6158"/>
          <w:spacing w:val="28"/>
        </w:rPr>
        <w:t> </w:t>
      </w:r>
      <w:r>
        <w:rPr>
          <w:color w:val="6E6158"/>
        </w:rPr>
        <w:t>in recognition of the over 200 hours of pro bono service she provided during law school. Lisa also</w:t>
      </w:r>
      <w:r>
        <w:rPr>
          <w:color w:val="6E6158"/>
          <w:spacing w:val="40"/>
        </w:rPr>
        <w:t> </w:t>
      </w:r>
      <w:r>
        <w:rPr>
          <w:color w:val="6E6158"/>
        </w:rPr>
        <w:t>served as a summer law clerk for the American Civil Liberties Union, first with its Colorado affiliate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then</w:t>
      </w:r>
      <w:r>
        <w:rPr>
          <w:color w:val="6E6158"/>
          <w:spacing w:val="29"/>
        </w:rPr>
        <w:t> </w:t>
      </w:r>
      <w:r>
        <w:rPr>
          <w:color w:val="6E6158"/>
        </w:rPr>
        <w:t>with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Reproductive</w:t>
      </w:r>
      <w:r>
        <w:rPr>
          <w:color w:val="6E6158"/>
          <w:spacing w:val="29"/>
        </w:rPr>
        <w:t> </w:t>
      </w:r>
      <w:r>
        <w:rPr>
          <w:color w:val="6E6158"/>
        </w:rPr>
        <w:t>Freedom</w:t>
      </w:r>
      <w:r>
        <w:rPr>
          <w:color w:val="6E6158"/>
          <w:spacing w:val="29"/>
        </w:rPr>
        <w:t> </w:t>
      </w:r>
      <w:r>
        <w:rPr>
          <w:color w:val="6E6158"/>
        </w:rPr>
        <w:t>Project</w:t>
      </w:r>
      <w:r>
        <w:rPr>
          <w:color w:val="6E6158"/>
          <w:spacing w:val="29"/>
        </w:rPr>
        <w:t> </w:t>
      </w:r>
      <w:r>
        <w:rPr>
          <w:color w:val="6E6158"/>
        </w:rPr>
        <w:t>at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ACLU</w:t>
      </w:r>
      <w:r>
        <w:rPr>
          <w:color w:val="6E6158"/>
          <w:spacing w:val="29"/>
        </w:rPr>
        <w:t> </w:t>
      </w:r>
      <w:r>
        <w:rPr>
          <w:color w:val="6E6158"/>
        </w:rPr>
        <w:t>National</w:t>
      </w:r>
      <w:r>
        <w:rPr>
          <w:color w:val="6E6158"/>
          <w:spacing w:val="29"/>
        </w:rPr>
        <w:t> </w:t>
      </w:r>
      <w:r>
        <w:rPr>
          <w:color w:val="6E6158"/>
        </w:rPr>
        <w:t>headquarters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New</w:t>
      </w:r>
    </w:p>
    <w:p>
      <w:pPr>
        <w:pStyle w:val="BodyText"/>
        <w:spacing w:line="292" w:lineRule="auto"/>
        <w:ind w:right="639"/>
      </w:pPr>
      <w:r>
        <w:rPr>
          <w:color w:val="6E6158"/>
        </w:rPr>
        <w:t>York City. She remains an active member of her alma mater’s alumni association and is the current litigation Chair for the Santa Barbara County Bar Association.</w:t>
      </w:r>
    </w:p>
    <w:p>
      <w:pPr>
        <w:pStyle w:val="BodyText"/>
        <w:spacing w:line="292" w:lineRule="auto" w:before="197"/>
        <w:ind w:right="639"/>
      </w:pPr>
      <w:r>
        <w:rPr>
          <w:color w:val="6E6158"/>
        </w:rPr>
        <w:t>During her free time, Lisa enjoys cooking and baking, exploring Santa Barbara’s coastline, and</w:t>
      </w:r>
      <w:r>
        <w:rPr>
          <w:color w:val="6E6158"/>
          <w:spacing w:val="40"/>
        </w:rPr>
        <w:t> </w:t>
      </w:r>
      <w:r>
        <w:rPr>
          <w:color w:val="6E6158"/>
        </w:rPr>
        <w:t>spending time with her husband and two young children. As a former figure skater, she also laces</w:t>
      </w:r>
      <w:r>
        <w:rPr>
          <w:color w:val="6E6158"/>
          <w:spacing w:val="40"/>
        </w:rPr>
        <w:t> </w:t>
      </w:r>
      <w:r>
        <w:rPr>
          <w:color w:val="6E6158"/>
        </w:rPr>
        <w:t>up her skates whenever she can.</w:t>
      </w:r>
    </w:p>
    <w:p>
      <w:pPr>
        <w:pStyle w:val="BodyText"/>
        <w:spacing w:line="422" w:lineRule="auto" w:before="197"/>
        <w:ind w:right="7795"/>
      </w:pPr>
      <w:r>
        <w:rPr>
          <w:color w:val="6E6158"/>
        </w:rPr>
        <w:t>Trusts &amp; Estates Estate </w:t>
      </w:r>
      <w:r>
        <w:rPr>
          <w:color w:val="6E6158"/>
        </w:rPr>
        <w:t>Litigation Real Estate</w:t>
      </w:r>
    </w:p>
    <w:p>
      <w:pPr>
        <w:pStyle w:val="Heading1"/>
        <w:spacing w:before="282"/>
      </w:pPr>
      <w:r>
        <w:rPr>
          <w:color w:val="FF8100"/>
          <w:spacing w:val="-2"/>
        </w:rPr>
        <w:t>EDUCATION</w:t>
      </w:r>
    </w:p>
    <w:p>
      <w:pPr>
        <w:pStyle w:val="BodyText"/>
        <w:spacing w:before="17"/>
        <w:ind w:left="0"/>
        <w:rPr>
          <w:b/>
        </w:rPr>
      </w:pPr>
    </w:p>
    <w:p>
      <w:pPr>
        <w:spacing w:before="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J.D.,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California,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Irvine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School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5"/>
          <w:sz w:val="19"/>
        </w:rPr>
        <w:t> </w:t>
      </w:r>
      <w:r>
        <w:rPr>
          <w:i/>
          <w:color w:val="6E6158"/>
          <w:sz w:val="20"/>
        </w:rPr>
        <w:t>Pro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z w:val="20"/>
        </w:rPr>
        <w:t>Bono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z w:val="20"/>
        </w:rPr>
        <w:t>High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pacing w:val="-2"/>
          <w:sz w:val="20"/>
        </w:rPr>
        <w:t>Honors</w:t>
      </w:r>
    </w:p>
    <w:p>
      <w:pPr>
        <w:spacing w:after="0"/>
        <w:jc w:val="left"/>
        <w:rPr>
          <w:i/>
          <w:sz w:val="20"/>
        </w:rPr>
        <w:sectPr>
          <w:type w:val="continuous"/>
          <w:pgSz w:w="12240" w:h="15840"/>
          <w:pgMar w:top="560" w:bottom="280" w:left="1440" w:right="1080"/>
        </w:sectPr>
      </w:pPr>
    </w:p>
    <w:p>
      <w:pPr>
        <w:spacing w:before="73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M.A.,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8"/>
          <w:sz w:val="19"/>
        </w:rPr>
        <w:t> </w:t>
      </w:r>
      <w:r>
        <w:rPr>
          <w:color w:val="6E6158"/>
          <w:sz w:val="19"/>
        </w:rPr>
        <w:t>University</w:t>
      </w:r>
      <w:r>
        <w:rPr>
          <w:color w:val="6E6158"/>
          <w:spacing w:val="8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8"/>
          <w:sz w:val="19"/>
        </w:rPr>
        <w:t> </w:t>
      </w:r>
      <w:r>
        <w:rPr>
          <w:color w:val="6E6158"/>
          <w:sz w:val="19"/>
        </w:rPr>
        <w:t>Chicago,</w:t>
      </w:r>
      <w:r>
        <w:rPr>
          <w:color w:val="6E6158"/>
          <w:spacing w:val="7"/>
          <w:sz w:val="19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5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spacing w:before="162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B.A.,</w:t>
      </w:r>
      <w:r>
        <w:rPr>
          <w:color w:val="6E6158"/>
          <w:spacing w:val="8"/>
          <w:sz w:val="19"/>
        </w:rPr>
        <w:t> </w:t>
      </w:r>
      <w:r>
        <w:rPr>
          <w:color w:val="6E6158"/>
          <w:sz w:val="19"/>
        </w:rPr>
        <w:t>American</w:t>
      </w:r>
      <w:r>
        <w:rPr>
          <w:color w:val="6E6158"/>
          <w:spacing w:val="9"/>
          <w:sz w:val="19"/>
        </w:rPr>
        <w:t> </w:t>
      </w:r>
      <w:r>
        <w:rPr>
          <w:color w:val="6E6158"/>
          <w:sz w:val="19"/>
        </w:rPr>
        <w:t>University,</w:t>
      </w:r>
      <w:r>
        <w:rPr>
          <w:color w:val="6E6158"/>
          <w:spacing w:val="9"/>
          <w:sz w:val="19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6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69"/>
        <w:ind w:left="0"/>
        <w:rPr>
          <w:i/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/>
        <w:ind w:right="7795"/>
      </w:pPr>
      <w:r>
        <w:rPr>
          <w:color w:val="6E6158"/>
        </w:rPr>
        <w:t>Trusts &amp; Estates Estate </w:t>
      </w:r>
      <w:r>
        <w:rPr>
          <w:color w:val="6E6158"/>
        </w:rPr>
        <w:t>Litigation Real Estate</w:t>
      </w:r>
    </w:p>
    <w:p>
      <w:pPr>
        <w:pStyle w:val="Heading1"/>
        <w:spacing w:before="281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14"/>
        <w:ind w:left="0"/>
        <w:rPr>
          <w:b/>
          <w:sz w:val="20"/>
        </w:rPr>
      </w:pPr>
    </w:p>
    <w:p>
      <w:pPr>
        <w:spacing w:before="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Lawyers: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Ones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to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Watch®</w:t>
      </w:r>
      <w:r>
        <w:rPr>
          <w:i/>
          <w:color w:val="6E6158"/>
          <w:spacing w:val="-11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12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color w:val="6E6158"/>
          <w:sz w:val="19"/>
        </w:rPr>
        <w:t>,</w:t>
      </w:r>
      <w:r>
        <w:rPr>
          <w:color w:val="6E6158"/>
          <w:spacing w:val="-8"/>
          <w:sz w:val="19"/>
        </w:rPr>
        <w:t> </w:t>
      </w:r>
      <w:r>
        <w:rPr>
          <w:color w:val="6E6158"/>
          <w:sz w:val="19"/>
        </w:rPr>
        <w:t>Trusts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Estates,</w:t>
      </w:r>
      <w:r>
        <w:rPr>
          <w:color w:val="6E6158"/>
          <w:spacing w:val="-8"/>
          <w:sz w:val="19"/>
        </w:rPr>
        <w:t> 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before="160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Litigation</w:t>
      </w:r>
      <w:r>
        <w:rPr>
          <w:color w:val="6E6158"/>
          <w:spacing w:val="9"/>
        </w:rPr>
        <w:t> </w:t>
      </w:r>
      <w:r>
        <w:rPr>
          <w:color w:val="6E6158"/>
        </w:rPr>
        <w:t>Chair,</w:t>
      </w:r>
      <w:r>
        <w:rPr>
          <w:color w:val="6E6158"/>
          <w:spacing w:val="10"/>
        </w:rPr>
        <w:t> </w:t>
      </w:r>
      <w:r>
        <w:rPr>
          <w:color w:val="6E6158"/>
        </w:rPr>
        <w:t>Santa</w:t>
      </w:r>
      <w:r>
        <w:rPr>
          <w:color w:val="6E6158"/>
          <w:spacing w:val="9"/>
        </w:rPr>
        <w:t> </w:t>
      </w:r>
      <w:r>
        <w:rPr>
          <w:color w:val="6E6158"/>
        </w:rPr>
        <w:t>Barbara</w:t>
      </w:r>
      <w:r>
        <w:rPr>
          <w:color w:val="6E6158"/>
          <w:spacing w:val="10"/>
        </w:rPr>
        <w:t> </w:t>
      </w:r>
      <w:r>
        <w:rPr>
          <w:color w:val="6E6158"/>
        </w:rPr>
        <w:t>County</w:t>
      </w:r>
      <w:r>
        <w:rPr>
          <w:color w:val="6E6158"/>
          <w:spacing w:val="9"/>
        </w:rPr>
        <w:t> </w:t>
      </w:r>
      <w:r>
        <w:rPr>
          <w:color w:val="6E6158"/>
        </w:rPr>
        <w:t>Bar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Association</w:t>
      </w:r>
    </w:p>
    <w:p>
      <w:pPr>
        <w:pStyle w:val="BodyText"/>
        <w:spacing w:before="174"/>
      </w:pPr>
      <w:r>
        <w:rPr>
          <w:color w:val="6E6158"/>
        </w:rPr>
        <w:t>University</w:t>
      </w:r>
      <w:r>
        <w:rPr>
          <w:color w:val="6E6158"/>
          <w:spacing w:val="14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California,</w:t>
      </w:r>
      <w:r>
        <w:rPr>
          <w:color w:val="6E6158"/>
          <w:spacing w:val="15"/>
        </w:rPr>
        <w:t> </w:t>
      </w:r>
      <w:r>
        <w:rPr>
          <w:color w:val="6E6158"/>
        </w:rPr>
        <w:t>Irvine</w:t>
      </w:r>
      <w:r>
        <w:rPr>
          <w:color w:val="6E6158"/>
          <w:spacing w:val="14"/>
        </w:rPr>
        <w:t> </w:t>
      </w:r>
      <w:r>
        <w:rPr>
          <w:color w:val="6E6158"/>
        </w:rPr>
        <w:t>School</w:t>
      </w:r>
      <w:r>
        <w:rPr>
          <w:color w:val="6E6158"/>
          <w:spacing w:val="15"/>
        </w:rPr>
        <w:t> </w:t>
      </w:r>
      <w:r>
        <w:rPr>
          <w:color w:val="6E6158"/>
        </w:rPr>
        <w:t>of</w:t>
      </w:r>
      <w:r>
        <w:rPr>
          <w:color w:val="6E6158"/>
          <w:spacing w:val="14"/>
        </w:rPr>
        <w:t> </w:t>
      </w:r>
      <w:r>
        <w:rPr>
          <w:color w:val="6E6158"/>
        </w:rPr>
        <w:t>Law</w:t>
      </w:r>
      <w:r>
        <w:rPr>
          <w:color w:val="6E6158"/>
          <w:spacing w:val="14"/>
        </w:rPr>
        <w:t> </w:t>
      </w:r>
      <w:r>
        <w:rPr>
          <w:color w:val="6E6158"/>
        </w:rPr>
        <w:t>Alumni</w:t>
      </w:r>
      <w:r>
        <w:rPr>
          <w:color w:val="6E6158"/>
          <w:spacing w:val="15"/>
        </w:rPr>
        <w:t> </w:t>
      </w:r>
      <w:r>
        <w:rPr>
          <w:color w:val="6E6158"/>
        </w:rPr>
        <w:t>Association,</w:t>
      </w:r>
      <w:r>
        <w:rPr>
          <w:color w:val="6E6158"/>
          <w:spacing w:val="14"/>
        </w:rPr>
        <w:t> </w:t>
      </w:r>
      <w:r>
        <w:rPr>
          <w:color w:val="6E6158"/>
        </w:rPr>
        <w:t>2017-</w:t>
      </w:r>
      <w:r>
        <w:rPr>
          <w:color w:val="6E6158"/>
          <w:spacing w:val="-2"/>
        </w:rPr>
        <w:t>Present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36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California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trusts-estates/" TargetMode="External"/><Relationship Id="rId9" Type="http://schemas.openxmlformats.org/officeDocument/2006/relationships/hyperlink" Target="https://www.fennemorelaw.com/contact-us/santa-barbara/" TargetMode="External"/><Relationship Id="rId10" Type="http://schemas.openxmlformats.org/officeDocument/2006/relationships/hyperlink" Target="mailto:lpetak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Faye Petak - Fennemore</dc:title>
  <dcterms:created xsi:type="dcterms:W3CDTF">2026-09-04T21:28:23Z</dcterms:created>
  <dcterms:modified xsi:type="dcterms:W3CDTF">2026-09-04T21:28:23Z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