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indsey Maasch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528" w:right="1530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LYNDSEY MAASCH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602.916.5401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lmaasch@fennemorelaw.com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Lindsey Maasch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528" w:right="1530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LYNDSEY MAASCH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602.916.5401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lmaasch@fennemorelaw.com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LYNDSEY</w:t>
      </w:r>
      <w:r>
        <w:rPr>
          <w:b/>
          <w:color w:val="002E6B"/>
          <w:spacing w:val="10"/>
          <w:sz w:val="24"/>
        </w:rPr>
        <w:t> </w:t>
      </w:r>
      <w:r>
        <w:rPr>
          <w:b/>
          <w:color w:val="002E6B"/>
          <w:spacing w:val="-2"/>
          <w:sz w:val="24"/>
        </w:rPr>
        <w:t>MAASCH</w:t>
      </w:r>
    </w:p>
    <w:p>
      <w:pPr>
        <w:pStyle w:val="BodyText"/>
        <w:spacing w:line="302" w:lineRule="auto" w:before="147"/>
        <w:ind w:right="734"/>
      </w:pPr>
      <w:r>
        <w:rPr>
          <w:color w:val="6E6158"/>
        </w:rPr>
        <w:t>Lyndsey Maasch is an Associate in Fennemore’s Business Litigation practice group in Phoenix.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20"/>
        </w:rPr>
        <w:t> </w:t>
      </w:r>
      <w:r>
        <w:rPr>
          <w:color w:val="6E6158"/>
        </w:rPr>
        <w:t>represents</w:t>
      </w:r>
      <w:r>
        <w:rPr>
          <w:color w:val="6E6158"/>
          <w:spacing w:val="20"/>
        </w:rPr>
        <w:t> </w:t>
      </w:r>
      <w:r>
        <w:rPr>
          <w:color w:val="6E6158"/>
        </w:rPr>
        <w:t>businesses,</w:t>
      </w:r>
      <w:r>
        <w:rPr>
          <w:color w:val="6E6158"/>
          <w:spacing w:val="20"/>
        </w:rPr>
        <w:t> </w:t>
      </w:r>
      <w:r>
        <w:rPr>
          <w:color w:val="6E6158"/>
        </w:rPr>
        <w:t>business</w:t>
      </w:r>
      <w:r>
        <w:rPr>
          <w:color w:val="6E6158"/>
          <w:spacing w:val="20"/>
        </w:rPr>
        <w:t> </w:t>
      </w:r>
      <w:r>
        <w:rPr>
          <w:color w:val="6E6158"/>
        </w:rPr>
        <w:t>owners,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professionals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complex</w:t>
      </w:r>
      <w:r>
        <w:rPr>
          <w:color w:val="6E6158"/>
          <w:spacing w:val="20"/>
        </w:rPr>
        <w:t> </w:t>
      </w:r>
      <w:r>
        <w:rPr>
          <w:color w:val="6E6158"/>
        </w:rPr>
        <w:t>commercial</w:t>
      </w:r>
      <w:r>
        <w:rPr>
          <w:color w:val="6E6158"/>
          <w:spacing w:val="20"/>
        </w:rPr>
        <w:t> </w:t>
      </w:r>
      <w:r>
        <w:rPr>
          <w:color w:val="6E6158"/>
        </w:rPr>
        <w:t>disputes.</w:t>
      </w:r>
    </w:p>
    <w:p>
      <w:pPr>
        <w:pStyle w:val="BodyText"/>
        <w:spacing w:line="224" w:lineRule="exact"/>
      </w:pPr>
      <w:r>
        <w:rPr>
          <w:color w:val="6E6158"/>
        </w:rPr>
        <w:t>Her</w:t>
      </w:r>
      <w:r>
        <w:rPr>
          <w:color w:val="6E6158"/>
          <w:spacing w:val="16"/>
        </w:rPr>
        <w:t> </w:t>
      </w:r>
      <w:r>
        <w:rPr>
          <w:color w:val="6E6158"/>
        </w:rPr>
        <w:t>practice</w:t>
      </w:r>
      <w:r>
        <w:rPr>
          <w:color w:val="6E6158"/>
          <w:spacing w:val="16"/>
        </w:rPr>
        <w:t> </w:t>
      </w:r>
      <w:r>
        <w:rPr>
          <w:color w:val="6E6158"/>
        </w:rPr>
        <w:t>includes</w:t>
      </w:r>
      <w:r>
        <w:rPr>
          <w:color w:val="6E6158"/>
          <w:spacing w:val="16"/>
        </w:rPr>
        <w:t> </w:t>
      </w:r>
      <w:r>
        <w:rPr>
          <w:color w:val="6E6158"/>
        </w:rPr>
        <w:t>contract</w:t>
      </w:r>
      <w:r>
        <w:rPr>
          <w:color w:val="6E6158"/>
          <w:spacing w:val="16"/>
        </w:rPr>
        <w:t> </w:t>
      </w:r>
      <w:r>
        <w:rPr>
          <w:color w:val="6E6158"/>
        </w:rPr>
        <w:t>disputes,</w:t>
      </w:r>
      <w:r>
        <w:rPr>
          <w:color w:val="6E6158"/>
          <w:spacing w:val="16"/>
        </w:rPr>
        <w:t> </w:t>
      </w:r>
      <w:r>
        <w:rPr>
          <w:color w:val="6E6158"/>
        </w:rPr>
        <w:t>restrictive</w:t>
      </w:r>
      <w:r>
        <w:rPr>
          <w:color w:val="6E6158"/>
          <w:spacing w:val="16"/>
        </w:rPr>
        <w:t> </w:t>
      </w:r>
      <w:r>
        <w:rPr>
          <w:color w:val="6E6158"/>
        </w:rPr>
        <w:t>covenant</w:t>
      </w:r>
      <w:r>
        <w:rPr>
          <w:color w:val="6E6158"/>
          <w:spacing w:val="17"/>
        </w:rPr>
        <w:t> </w:t>
      </w:r>
      <w:r>
        <w:rPr>
          <w:color w:val="6E6158"/>
        </w:rPr>
        <w:t>matters,</w:t>
      </w:r>
      <w:r>
        <w:rPr>
          <w:color w:val="6E6158"/>
          <w:spacing w:val="16"/>
        </w:rPr>
        <w:t> </w:t>
      </w:r>
      <w:r>
        <w:rPr>
          <w:color w:val="6E6158"/>
        </w:rPr>
        <w:t>insurance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coverage</w:t>
      </w:r>
    </w:p>
    <w:p>
      <w:pPr>
        <w:pStyle w:val="BodyText"/>
        <w:spacing w:line="297" w:lineRule="auto" w:before="52"/>
        <w:ind w:right="715"/>
      </w:pPr>
      <w:r>
        <w:rPr>
          <w:color w:val="6E6158"/>
        </w:rPr>
        <w:t>disputes, and appeals. She represents clients on both sides and through all stages of a dispute,</w:t>
      </w:r>
      <w:r>
        <w:rPr>
          <w:color w:val="6E6158"/>
          <w:spacing w:val="40"/>
        </w:rPr>
        <w:t> </w:t>
      </w:r>
      <w:r>
        <w:rPr>
          <w:color w:val="6E6158"/>
        </w:rPr>
        <w:t>from early strategy and pre-suit resolution through dispositive motions, evidentiary hearings, </w:t>
      </w:r>
      <w:r>
        <w:rPr>
          <w:color w:val="6E6158"/>
        </w:rPr>
        <w:t>trial,</w:t>
      </w:r>
      <w:r>
        <w:rPr>
          <w:color w:val="6E6158"/>
          <w:spacing w:val="40"/>
        </w:rPr>
        <w:t> </w:t>
      </w:r>
      <w:r>
        <w:rPr>
          <w:color w:val="6E6158"/>
        </w:rPr>
        <w:t>and appeal.</w:t>
      </w:r>
    </w:p>
    <w:p>
      <w:pPr>
        <w:pStyle w:val="BodyText"/>
        <w:spacing w:line="295" w:lineRule="auto" w:before="191"/>
        <w:ind w:right="814"/>
      </w:pPr>
      <w:r>
        <w:rPr>
          <w:color w:val="6E6158"/>
        </w:rPr>
        <w:t>Lyndsey particularly enjoys matters that require digging into a complicated factual record,</w:t>
      </w:r>
      <w:r>
        <w:rPr>
          <w:color w:val="6E6158"/>
          <w:spacing w:val="40"/>
        </w:rPr>
        <w:t> </w:t>
      </w:r>
      <w:r>
        <w:rPr>
          <w:color w:val="6E6158"/>
        </w:rPr>
        <w:t>understanding how a client’s business actually works, and finding the clearest path through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difficult problem. She takes pride in mastering the details without losing sight of the client’s</w:t>
      </w:r>
      <w:r>
        <w:rPr>
          <w:color w:val="6E6158"/>
          <w:spacing w:val="40"/>
        </w:rPr>
        <w:t> </w:t>
      </w:r>
      <w:r>
        <w:rPr>
          <w:color w:val="6E6158"/>
        </w:rPr>
        <w:t>broader business objectives.’</w:t>
      </w:r>
    </w:p>
    <w:p>
      <w:pPr>
        <w:pStyle w:val="BodyText"/>
        <w:spacing w:line="295" w:lineRule="auto" w:before="197"/>
        <w:ind w:right="715"/>
      </w:pPr>
      <w:r>
        <w:rPr>
          <w:color w:val="6E6158"/>
        </w:rPr>
        <w:t>Outside the office, Lyndsey is a dedicated member of the Auxiliary Board of Fresh Start Women’s</w:t>
      </w:r>
      <w:r>
        <w:rPr>
          <w:color w:val="6E6158"/>
          <w:spacing w:val="40"/>
        </w:rPr>
        <w:t> </w:t>
      </w:r>
      <w:r>
        <w:rPr>
          <w:color w:val="6E6158"/>
        </w:rPr>
        <w:t>Foundation, where she supports the organization’s mission of empowering women to succeed.</w:t>
      </w:r>
      <w:r>
        <w:rPr>
          <w:color w:val="6E6158"/>
          <w:spacing w:val="40"/>
        </w:rPr>
        <w:t> </w:t>
      </w:r>
      <w:r>
        <w:rPr>
          <w:color w:val="6E6158"/>
        </w:rPr>
        <w:t>When she’s not working, you can find Lyndsey at a local coffee shop with her husband, Jeff, or</w:t>
      </w:r>
      <w:r>
        <w:rPr>
          <w:color w:val="6E6158"/>
          <w:spacing w:val="40"/>
        </w:rPr>
        <w:t> </w:t>
      </w:r>
      <w:r>
        <w:rPr>
          <w:color w:val="6E6158"/>
        </w:rPr>
        <w:t>chasing her daughters, Tatum and Baker, around the zoo or the aquarium.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408" w:lineRule="auto"/>
        <w:ind w:right="1124"/>
      </w:pPr>
      <w:r>
        <w:rPr>
          <w:color w:val="6E6158"/>
        </w:rPr>
        <w:t>J.D., </w:t>
      </w:r>
      <w:r>
        <w:rPr>
          <w:i/>
          <w:color w:val="6E6158"/>
          <w:sz w:val="20"/>
        </w:rPr>
        <w:t>magna cum laude, </w:t>
      </w:r>
      <w:r>
        <w:rPr>
          <w:color w:val="6E6158"/>
        </w:rPr>
        <w:t>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Political Science and Legal Studies, University of Wisconsin-Madison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443"/>
      </w:pPr>
      <w:r>
        <w:rPr>
          <w:color w:val="6E6158"/>
        </w:rPr>
        <w:t>Business Litigation Health Care Automotive </w:t>
      </w:r>
      <w:r>
        <w:rPr>
          <w:color w:val="6E6158"/>
        </w:rPr>
        <w:t>Dealership</w:t>
      </w:r>
    </w:p>
    <w:p>
      <w:pPr>
        <w:pStyle w:val="Heading1"/>
        <w:spacing w:before="289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Seven Significant Differences Between Arizona and Federal Civil Procedure in 2024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June 20, 2024</w:t>
      </w:r>
    </w:p>
    <w:p>
      <w:pPr>
        <w:pStyle w:val="BodyText"/>
        <w:spacing w:line="292" w:lineRule="auto" w:before="132"/>
        <w:ind w:right="715"/>
      </w:pPr>
      <w:hyperlink r:id="rId12">
        <w:r>
          <w:rPr>
            <w:color w:val="FF8100"/>
          </w:rPr>
          <w:t>Co-author, “OSHA Issues Emergency Temporary Standard for Health Care </w:t>
        </w:r>
        <w:r>
          <w:rPr>
            <w:color w:val="FF8100"/>
          </w:rPr>
          <w:t>Employers,”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Fennemore Client Alert, July 8, 2021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Ones to Watch, Health Care Law, 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Auxiliary</w:t>
      </w:r>
      <w:r>
        <w:rPr>
          <w:color w:val="6E6158"/>
          <w:spacing w:val="9"/>
        </w:rPr>
        <w:t> </w:t>
      </w:r>
      <w:r>
        <w:rPr>
          <w:color w:val="6E6158"/>
        </w:rPr>
        <w:t>Board,</w:t>
      </w:r>
      <w:r>
        <w:rPr>
          <w:color w:val="6E6158"/>
          <w:spacing w:val="8"/>
        </w:rPr>
        <w:t> </w:t>
      </w:r>
      <w:r>
        <w:rPr>
          <w:color w:val="6E6158"/>
        </w:rPr>
        <w:t>Fresh</w:t>
      </w:r>
      <w:r>
        <w:rPr>
          <w:color w:val="6E6158"/>
          <w:spacing w:val="9"/>
        </w:rPr>
        <w:t> </w:t>
      </w:r>
      <w:r>
        <w:rPr>
          <w:color w:val="6E6158"/>
        </w:rPr>
        <w:t>Start</w:t>
      </w:r>
      <w:r>
        <w:rPr>
          <w:color w:val="6E6158"/>
          <w:spacing w:val="9"/>
        </w:rPr>
        <w:t> </w:t>
      </w:r>
      <w:r>
        <w:rPr>
          <w:color w:val="6E6158"/>
        </w:rPr>
        <w:t>Women’s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Arizona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maasch@fennemorelaw.com" TargetMode="External"/><Relationship Id="rId11" Type="http://schemas.openxmlformats.org/officeDocument/2006/relationships/hyperlink" Target="https://www.fennemorelaw.com/seven-significant-differences-between-arizona-and-federal-civil-procedure-in-2024/" TargetMode="External"/><Relationship Id="rId12" Type="http://schemas.openxmlformats.org/officeDocument/2006/relationships/hyperlink" Target="https://www.fennemorelaw.com/insights/newsletters/2021/osha-issues-emergency-temporary-standard-for-health-care-employer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Lyndsey Maasch - Fennemore</dc:title>
  <dcterms:created xsi:type="dcterms:W3CDTF">2026-09-04T18:42:41Z</dcterms:created>
  <dcterms:modified xsi:type="dcterms:W3CDTF">2026-09-04T18:42:41Z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