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-10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071870" cy="3162935"/>
                <wp:effectExtent l="0" t="0" r="0" b="8889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3162935"/>
                          <a:chExt cx="6071870" cy="316293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Lindsey Maasch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38379" y="268700"/>
                            <a:ext cx="3033395" cy="28936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70"/>
                                <w:rPr>
                                  <w:rFonts w:ascii="Times New Roman"/>
                                  <w:sz w:val="39"/>
                                </w:rPr>
                              </w:pPr>
                            </w:p>
                            <w:p>
                              <w:pPr>
                                <w:spacing w:line="216" w:lineRule="auto" w:before="0"/>
                                <w:ind w:left="1528" w:right="1530" w:hanging="1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LYNDSEY MAASCH</w:t>
                              </w:r>
                            </w:p>
                            <w:p>
                              <w:pPr>
                                <w:spacing w:before="48"/>
                                <w:ind w:left="0" w:right="2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Associate</w:t>
                              </w:r>
                            </w:p>
                            <w:p>
                              <w:pPr>
                                <w:spacing w:before="291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6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Litigation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38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Phoenix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1840" w:val="left" w:leader="none"/>
                                </w:tabs>
                                <w:spacing w:before="54"/>
                                <w:ind w:left="0" w:right="2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602.916.5401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ab/>
                                <w:t>F: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 602.916.5601</w:t>
                              </w:r>
                            </w:p>
                            <w:p>
                              <w:pPr>
                                <w:spacing w:before="119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lmaasch@fennemorelaw.com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8.1pt;height:249.05pt;mso-position-horizontal-relative:char;mso-position-vertical-relative:line" id="docshapegroup1" coordorigin="0,0" coordsize="9562,4981">
                <v:shape style="position:absolute;left:0;top:0;width:2165;height:424" type="#_x0000_t75" id="docshape2" alt="Fennemore" href="https://www.fennemorelaw.com/" stroked="false">
                  <v:imagedata r:id="rId5" o:title=""/>
                </v:shape>
                <v:shape style="position:absolute;left:0;top:423;width:4785;height:4557" type="#_x0000_t75" id="docshape3" alt="Lindsey Maasch" stroked="false">
                  <v:imagedata r:id="rId7" o:title=""/>
                </v:shape>
                <v:rect style="position:absolute;left:4784;top:423;width:4777;height:4557" id="docshape4" filled="true" fillcolor="#262424" stroked="false">
                  <v:fill type="solid"/>
                </v:rect>
                <v:shape style="position:absolute;left:5500;top:2587;width:3337;height:505" id="docshape5" coordorigin="5501,2588" coordsize="3337,505" path="m8837,3084l5501,3084,5501,3092,8837,3092,8837,3084xm8837,2588l5501,2588,5501,2596,8837,2596,8837,2588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784;top:423;width:4777;height:4557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370"/>
                          <w:rPr>
                            <w:rFonts w:ascii="Times New Roman"/>
                            <w:sz w:val="39"/>
                          </w:rPr>
                        </w:pPr>
                      </w:p>
                      <w:p>
                        <w:pPr>
                          <w:spacing w:line="216" w:lineRule="auto" w:before="0"/>
                          <w:ind w:left="1528" w:right="1530" w:hanging="1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LYNDSEY MAASCH</w:t>
                        </w:r>
                      </w:p>
                      <w:p>
                        <w:pPr>
                          <w:spacing w:before="48"/>
                          <w:ind w:left="0" w:right="2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Associate</w:t>
                        </w:r>
                      </w:p>
                      <w:p>
                        <w:pPr>
                          <w:spacing w:before="291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6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Litigation</w:t>
                          </w:r>
                        </w:hyperlink>
                      </w:p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38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Phoenix</w:t>
                          </w:r>
                        </w:hyperlink>
                      </w:p>
                      <w:p>
                        <w:pPr>
                          <w:tabs>
                            <w:tab w:pos="1840" w:val="left" w:leader="none"/>
                          </w:tabs>
                          <w:spacing w:before="54"/>
                          <w:ind w:left="0" w:right="2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602.916.5401</w:t>
                        </w:r>
                        <w:r>
                          <w:rPr>
                            <w:color w:val="FFFFFF"/>
                            <w:sz w:val="17"/>
                          </w:rPr>
                          <w:tab/>
                          <w:t>F: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 602.916.5601</w:t>
                        </w:r>
                      </w:p>
                      <w:p>
                        <w:pPr>
                          <w:spacing w:before="119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lmaasch@fennemorelaw.com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before="63"/>
        <w:ind w:left="99" w:right="0" w:firstLine="0"/>
        <w:jc w:val="left"/>
        <w:rPr>
          <w:b/>
          <w:sz w:val="24"/>
        </w:rPr>
      </w:pPr>
      <w:r>
        <w:rPr>
          <w:b/>
          <w:color w:val="002E6B"/>
          <w:sz w:val="24"/>
        </w:rPr>
        <w:t>LYNDSEY</w:t>
      </w:r>
      <w:r>
        <w:rPr>
          <w:b/>
          <w:color w:val="002E6B"/>
          <w:spacing w:val="10"/>
          <w:sz w:val="24"/>
        </w:rPr>
        <w:t> </w:t>
      </w:r>
      <w:r>
        <w:rPr>
          <w:b/>
          <w:color w:val="002E6B"/>
          <w:spacing w:val="-2"/>
          <w:sz w:val="24"/>
        </w:rPr>
        <w:t>MAASCH</w:t>
      </w:r>
    </w:p>
    <w:p>
      <w:pPr>
        <w:pStyle w:val="BodyText"/>
        <w:spacing w:line="302" w:lineRule="auto" w:before="147"/>
        <w:ind w:right="734"/>
      </w:pPr>
      <w:r>
        <w:rPr>
          <w:color w:val="6E6158"/>
        </w:rPr>
        <w:t>Lyndsey Maasch is an Associate in Fennemore’s Business Litigation practice group in Phoenix.</w:t>
      </w:r>
      <w:r>
        <w:rPr>
          <w:color w:val="6E6158"/>
          <w:spacing w:val="40"/>
        </w:rPr>
        <w:t> </w:t>
      </w:r>
      <w:r>
        <w:rPr>
          <w:color w:val="6E6158"/>
        </w:rPr>
        <w:t>She</w:t>
      </w:r>
      <w:r>
        <w:rPr>
          <w:color w:val="6E6158"/>
          <w:spacing w:val="20"/>
        </w:rPr>
        <w:t> </w:t>
      </w:r>
      <w:r>
        <w:rPr>
          <w:color w:val="6E6158"/>
        </w:rPr>
        <w:t>represents</w:t>
      </w:r>
      <w:r>
        <w:rPr>
          <w:color w:val="6E6158"/>
          <w:spacing w:val="20"/>
        </w:rPr>
        <w:t> </w:t>
      </w:r>
      <w:r>
        <w:rPr>
          <w:color w:val="6E6158"/>
        </w:rPr>
        <w:t>businesses,</w:t>
      </w:r>
      <w:r>
        <w:rPr>
          <w:color w:val="6E6158"/>
          <w:spacing w:val="20"/>
        </w:rPr>
        <w:t> </w:t>
      </w:r>
      <w:r>
        <w:rPr>
          <w:color w:val="6E6158"/>
        </w:rPr>
        <w:t>business</w:t>
      </w:r>
      <w:r>
        <w:rPr>
          <w:color w:val="6E6158"/>
          <w:spacing w:val="20"/>
        </w:rPr>
        <w:t> </w:t>
      </w:r>
      <w:r>
        <w:rPr>
          <w:color w:val="6E6158"/>
        </w:rPr>
        <w:t>owners,</w:t>
      </w:r>
      <w:r>
        <w:rPr>
          <w:color w:val="6E6158"/>
          <w:spacing w:val="20"/>
        </w:rPr>
        <w:t> </w:t>
      </w:r>
      <w:r>
        <w:rPr>
          <w:color w:val="6E6158"/>
        </w:rPr>
        <w:t>and</w:t>
      </w:r>
      <w:r>
        <w:rPr>
          <w:color w:val="6E6158"/>
          <w:spacing w:val="20"/>
        </w:rPr>
        <w:t> </w:t>
      </w:r>
      <w:r>
        <w:rPr>
          <w:color w:val="6E6158"/>
        </w:rPr>
        <w:t>professionals</w:t>
      </w:r>
      <w:r>
        <w:rPr>
          <w:color w:val="6E6158"/>
          <w:spacing w:val="20"/>
        </w:rPr>
        <w:t> </w:t>
      </w:r>
      <w:r>
        <w:rPr>
          <w:color w:val="6E6158"/>
        </w:rPr>
        <w:t>in</w:t>
      </w:r>
      <w:r>
        <w:rPr>
          <w:color w:val="6E6158"/>
          <w:spacing w:val="20"/>
        </w:rPr>
        <w:t> </w:t>
      </w:r>
      <w:r>
        <w:rPr>
          <w:color w:val="6E6158"/>
        </w:rPr>
        <w:t>complex</w:t>
      </w:r>
      <w:r>
        <w:rPr>
          <w:color w:val="6E6158"/>
          <w:spacing w:val="20"/>
        </w:rPr>
        <w:t> </w:t>
      </w:r>
      <w:r>
        <w:rPr>
          <w:color w:val="6E6158"/>
        </w:rPr>
        <w:t>commercial</w:t>
      </w:r>
      <w:r>
        <w:rPr>
          <w:color w:val="6E6158"/>
          <w:spacing w:val="20"/>
        </w:rPr>
        <w:t> </w:t>
      </w:r>
      <w:r>
        <w:rPr>
          <w:color w:val="6E6158"/>
        </w:rPr>
        <w:t>disputes.</w:t>
      </w:r>
    </w:p>
    <w:p>
      <w:pPr>
        <w:pStyle w:val="BodyText"/>
        <w:spacing w:line="224" w:lineRule="exact"/>
      </w:pPr>
      <w:r>
        <w:rPr>
          <w:color w:val="6E6158"/>
        </w:rPr>
        <w:t>Her</w:t>
      </w:r>
      <w:r>
        <w:rPr>
          <w:color w:val="6E6158"/>
          <w:spacing w:val="16"/>
        </w:rPr>
        <w:t> </w:t>
      </w:r>
      <w:r>
        <w:rPr>
          <w:color w:val="6E6158"/>
        </w:rPr>
        <w:t>practice</w:t>
      </w:r>
      <w:r>
        <w:rPr>
          <w:color w:val="6E6158"/>
          <w:spacing w:val="16"/>
        </w:rPr>
        <w:t> </w:t>
      </w:r>
      <w:r>
        <w:rPr>
          <w:color w:val="6E6158"/>
        </w:rPr>
        <w:t>includes</w:t>
      </w:r>
      <w:r>
        <w:rPr>
          <w:color w:val="6E6158"/>
          <w:spacing w:val="16"/>
        </w:rPr>
        <w:t> </w:t>
      </w:r>
      <w:r>
        <w:rPr>
          <w:color w:val="6E6158"/>
        </w:rPr>
        <w:t>contract</w:t>
      </w:r>
      <w:r>
        <w:rPr>
          <w:color w:val="6E6158"/>
          <w:spacing w:val="16"/>
        </w:rPr>
        <w:t> </w:t>
      </w:r>
      <w:r>
        <w:rPr>
          <w:color w:val="6E6158"/>
        </w:rPr>
        <w:t>disputes,</w:t>
      </w:r>
      <w:r>
        <w:rPr>
          <w:color w:val="6E6158"/>
          <w:spacing w:val="16"/>
        </w:rPr>
        <w:t> </w:t>
      </w:r>
      <w:r>
        <w:rPr>
          <w:color w:val="6E6158"/>
        </w:rPr>
        <w:t>restrictive</w:t>
      </w:r>
      <w:r>
        <w:rPr>
          <w:color w:val="6E6158"/>
          <w:spacing w:val="16"/>
        </w:rPr>
        <w:t> </w:t>
      </w:r>
      <w:r>
        <w:rPr>
          <w:color w:val="6E6158"/>
        </w:rPr>
        <w:t>covenant</w:t>
      </w:r>
      <w:r>
        <w:rPr>
          <w:color w:val="6E6158"/>
          <w:spacing w:val="17"/>
        </w:rPr>
        <w:t> </w:t>
      </w:r>
      <w:r>
        <w:rPr>
          <w:color w:val="6E6158"/>
        </w:rPr>
        <w:t>matters,</w:t>
      </w:r>
      <w:r>
        <w:rPr>
          <w:color w:val="6E6158"/>
          <w:spacing w:val="16"/>
        </w:rPr>
        <w:t> </w:t>
      </w:r>
      <w:r>
        <w:rPr>
          <w:color w:val="6E6158"/>
        </w:rPr>
        <w:t>insurance</w:t>
      </w:r>
      <w:r>
        <w:rPr>
          <w:color w:val="6E6158"/>
          <w:spacing w:val="16"/>
        </w:rPr>
        <w:t> </w:t>
      </w:r>
      <w:r>
        <w:rPr>
          <w:color w:val="6E6158"/>
          <w:spacing w:val="-2"/>
        </w:rPr>
        <w:t>coverage</w:t>
      </w:r>
    </w:p>
    <w:p>
      <w:pPr>
        <w:pStyle w:val="BodyText"/>
        <w:spacing w:line="297" w:lineRule="auto" w:before="52"/>
        <w:ind w:right="617"/>
      </w:pPr>
      <w:r>
        <w:rPr>
          <w:color w:val="6E6158"/>
        </w:rPr>
        <w:t>disputes, and appeals. She represents clients on both sides and through all stages of a dispute,</w:t>
      </w:r>
      <w:r>
        <w:rPr>
          <w:color w:val="6E6158"/>
          <w:spacing w:val="40"/>
        </w:rPr>
        <w:t> </w:t>
      </w:r>
      <w:r>
        <w:rPr>
          <w:color w:val="6E6158"/>
        </w:rPr>
        <w:t>from early strategy and pre-suit resolution through dispositive motions, evidentiary hearings, </w:t>
      </w:r>
      <w:r>
        <w:rPr>
          <w:color w:val="6E6158"/>
        </w:rPr>
        <w:t>trial,</w:t>
      </w:r>
      <w:r>
        <w:rPr>
          <w:color w:val="6E6158"/>
          <w:spacing w:val="40"/>
        </w:rPr>
        <w:t> </w:t>
      </w:r>
      <w:r>
        <w:rPr>
          <w:color w:val="6E6158"/>
        </w:rPr>
        <w:t>and appeal.</w:t>
      </w:r>
    </w:p>
    <w:p>
      <w:pPr>
        <w:pStyle w:val="BodyText"/>
        <w:spacing w:line="295" w:lineRule="auto" w:before="191"/>
        <w:ind w:right="640"/>
      </w:pPr>
      <w:r>
        <w:rPr>
          <w:color w:val="6E6158"/>
        </w:rPr>
        <w:t>Lyndsey particularly enjoys matters that require digging into a complicated factual record,</w:t>
      </w:r>
      <w:r>
        <w:rPr>
          <w:color w:val="6E6158"/>
          <w:spacing w:val="40"/>
        </w:rPr>
        <w:t> </w:t>
      </w:r>
      <w:r>
        <w:rPr>
          <w:color w:val="6E6158"/>
        </w:rPr>
        <w:t>understanding how a client’s business actually works, and finding the clearest path through </w:t>
      </w:r>
      <w:r>
        <w:rPr>
          <w:color w:val="6E6158"/>
        </w:rPr>
        <w:t>a</w:t>
      </w:r>
      <w:r>
        <w:rPr>
          <w:color w:val="6E6158"/>
          <w:spacing w:val="40"/>
        </w:rPr>
        <w:t> </w:t>
      </w:r>
      <w:r>
        <w:rPr>
          <w:color w:val="6E6158"/>
        </w:rPr>
        <w:t>difficult problem. She takes pride in mastering the details without losing sight of the client’s</w:t>
      </w:r>
      <w:r>
        <w:rPr>
          <w:color w:val="6E6158"/>
          <w:spacing w:val="40"/>
        </w:rPr>
        <w:t> </w:t>
      </w:r>
      <w:r>
        <w:rPr>
          <w:color w:val="6E6158"/>
        </w:rPr>
        <w:t>broader business objectives.</w:t>
      </w:r>
    </w:p>
    <w:p>
      <w:pPr>
        <w:pStyle w:val="BodyText"/>
        <w:spacing w:line="295" w:lineRule="auto" w:before="197"/>
        <w:ind w:right="617"/>
      </w:pPr>
      <w:r>
        <w:rPr>
          <w:color w:val="6E6158"/>
        </w:rPr>
        <w:t>Outside the office, Lyndsey is a dedicated member of the Auxiliary Board of Fresh Start Women’s</w:t>
      </w:r>
      <w:r>
        <w:rPr>
          <w:color w:val="6E6158"/>
          <w:spacing w:val="40"/>
        </w:rPr>
        <w:t> </w:t>
      </w:r>
      <w:r>
        <w:rPr>
          <w:color w:val="6E6158"/>
        </w:rPr>
        <w:t>Foundation, where she supports the organization’s mission of empowering women to succeed.</w:t>
      </w:r>
      <w:r>
        <w:rPr>
          <w:color w:val="6E6158"/>
          <w:spacing w:val="40"/>
        </w:rPr>
        <w:t> </w:t>
      </w:r>
      <w:r>
        <w:rPr>
          <w:color w:val="6E6158"/>
        </w:rPr>
        <w:t>When she’s not working, you can find Lyndsey at a local coffee shop with her husband, Jeff, or</w:t>
      </w:r>
      <w:r>
        <w:rPr>
          <w:color w:val="6E6158"/>
          <w:spacing w:val="40"/>
        </w:rPr>
        <w:t> </w:t>
      </w:r>
      <w:r>
        <w:rPr>
          <w:color w:val="6E6158"/>
        </w:rPr>
        <w:t>chasing her daughters, Tatum and Baker, around the zoo or the aquarium.</w:t>
      </w:r>
    </w:p>
    <w:p>
      <w:pPr>
        <w:pStyle w:val="Heading1"/>
        <w:spacing w:before="162"/>
      </w:pPr>
      <w:r>
        <w:rPr>
          <w:color w:val="FF8100"/>
          <w:spacing w:val="-2"/>
        </w:rPr>
        <w:t>EDUCATION</w:t>
      </w:r>
    </w:p>
    <w:p>
      <w:pPr>
        <w:pStyle w:val="BodyText"/>
        <w:spacing w:before="18"/>
        <w:ind w:left="0"/>
        <w:rPr>
          <w:b/>
        </w:rPr>
      </w:pPr>
    </w:p>
    <w:p>
      <w:pPr>
        <w:pStyle w:val="BodyText"/>
        <w:spacing w:line="408" w:lineRule="auto"/>
        <w:ind w:right="1124"/>
      </w:pPr>
      <w:r>
        <w:rPr>
          <w:color w:val="6E6158"/>
        </w:rPr>
        <w:t>J.D., </w:t>
      </w:r>
      <w:r>
        <w:rPr>
          <w:i/>
          <w:color w:val="6E6158"/>
          <w:sz w:val="20"/>
        </w:rPr>
        <w:t>magna cum laude, </w:t>
      </w:r>
      <w:r>
        <w:rPr>
          <w:color w:val="6E6158"/>
        </w:rPr>
        <w:t>Arizona State University, Sandra Day O’Connor College of </w:t>
      </w:r>
      <w:r>
        <w:rPr>
          <w:color w:val="6E6158"/>
        </w:rPr>
        <w:t>Law</w:t>
      </w:r>
      <w:r>
        <w:rPr>
          <w:color w:val="6E6158"/>
        </w:rPr>
        <w:t> B.A., Political Science and Legal Studies, University of Wisconsin-Madison</w:t>
      </w:r>
    </w:p>
    <w:p>
      <w:pPr>
        <w:pStyle w:val="BodyText"/>
        <w:spacing w:before="8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420" w:lineRule="auto" w:before="1"/>
        <w:ind w:right="7443"/>
      </w:pPr>
      <w:r>
        <w:rPr>
          <w:color w:val="6E6158"/>
        </w:rPr>
        <w:t>Business Litigation Health Care Automotive </w:t>
      </w:r>
      <w:r>
        <w:rPr>
          <w:color w:val="6E6158"/>
        </w:rPr>
        <w:t>Dealership</w:t>
      </w:r>
    </w:p>
    <w:p>
      <w:pPr>
        <w:pStyle w:val="Heading1"/>
        <w:spacing w:before="289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Heading1"/>
        <w:spacing w:after="0"/>
        <w:sectPr>
          <w:type w:val="continuous"/>
          <w:pgSz w:w="12240" w:h="15840"/>
          <w:pgMar w:top="560" w:bottom="280" w:left="1440" w:right="1080"/>
        </w:sectPr>
      </w:pPr>
    </w:p>
    <w:p>
      <w:pPr>
        <w:spacing w:line="288" w:lineRule="auto" w:before="96"/>
        <w:ind w:left="99" w:right="617" w:firstLine="0"/>
        <w:jc w:val="left"/>
        <w:rPr>
          <w:sz w:val="19"/>
        </w:rPr>
      </w:pPr>
      <w:r>
        <w:rPr>
          <w:i/>
          <w:color w:val="6E6158"/>
          <w:sz w:val="20"/>
        </w:rPr>
        <w:t>Best Lawyers in 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 </w:t>
      </w:r>
      <w:r>
        <w:rPr>
          <w:color w:val="6E6158"/>
          <w:sz w:val="19"/>
        </w:rPr>
        <w:t>Ones to Watch, Commercial Litigation (2027) Health Care Law (2026-</w:t>
      </w:r>
      <w:r>
        <w:rPr>
          <w:color w:val="6E6158"/>
          <w:spacing w:val="-2"/>
          <w:sz w:val="19"/>
        </w:rPr>
        <w:t>2027)</w:t>
      </w:r>
    </w:p>
    <w:p>
      <w:pPr>
        <w:pStyle w:val="BodyText"/>
        <w:spacing w:before="125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REPRESENTATIVE</w:t>
      </w:r>
      <w:r>
        <w:rPr>
          <w:color w:val="FF8100"/>
          <w:spacing w:val="19"/>
        </w:rPr>
        <w:t> </w:t>
      </w:r>
      <w:r>
        <w:rPr>
          <w:color w:val="FF8100"/>
          <w:spacing w:val="-2"/>
        </w:rPr>
        <w:t>MATTERS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285" w:lineRule="auto"/>
        <w:ind w:right="640"/>
      </w:pPr>
      <w:r>
        <w:rPr>
          <w:color w:val="6E6158"/>
        </w:rPr>
        <w:t>Obtained reversal from the Arizona Court of Appeals of summary judgment entered against</w:t>
      </w:r>
      <w:r>
        <w:rPr>
          <w:color w:val="6E6158"/>
          <w:spacing w:val="40"/>
        </w:rPr>
        <w:t> </w:t>
      </w:r>
      <w:r>
        <w:rPr>
          <w:color w:val="6E6158"/>
        </w:rPr>
        <w:t>homeowner clients in a construction defect dispute. </w:t>
      </w:r>
      <w:r>
        <w:rPr>
          <w:i/>
          <w:color w:val="6E6158"/>
          <w:sz w:val="20"/>
        </w:rPr>
        <w:t>Duncan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v.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LaBlonde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Development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Corp.</w:t>
      </w:r>
      <w:r>
        <w:rPr>
          <w:color w:val="6E6158"/>
        </w:rPr>
        <w:t>, No. 1 CA-CV 24-0715, 2025 WL 1882825 (Ariz. Ct. App. July 8, 2025).</w:t>
      </w:r>
    </w:p>
    <w:p>
      <w:pPr>
        <w:pStyle w:val="BodyText"/>
        <w:spacing w:before="130"/>
      </w:pPr>
      <w:r>
        <w:rPr>
          <w:color w:val="6E6158"/>
        </w:rPr>
        <w:t>Represented</w:t>
      </w:r>
      <w:r>
        <w:rPr>
          <w:color w:val="6E6158"/>
          <w:spacing w:val="10"/>
        </w:rPr>
        <w:t> </w:t>
      </w:r>
      <w:r>
        <w:rPr>
          <w:color w:val="6E6158"/>
        </w:rPr>
        <w:t>a</w:t>
      </w:r>
      <w:r>
        <w:rPr>
          <w:color w:val="6E6158"/>
          <w:spacing w:val="10"/>
        </w:rPr>
        <w:t> </w:t>
      </w:r>
      <w:r>
        <w:rPr>
          <w:color w:val="6E6158"/>
        </w:rPr>
        <w:t>business</w:t>
      </w:r>
      <w:r>
        <w:rPr>
          <w:color w:val="6E6158"/>
          <w:spacing w:val="10"/>
        </w:rPr>
        <w:t> </w:t>
      </w:r>
      <w:r>
        <w:rPr>
          <w:color w:val="6E6158"/>
        </w:rPr>
        <w:t>client</w:t>
      </w:r>
      <w:r>
        <w:rPr>
          <w:color w:val="6E6158"/>
          <w:spacing w:val="10"/>
        </w:rPr>
        <w:t> </w:t>
      </w:r>
      <w:r>
        <w:rPr>
          <w:color w:val="6E6158"/>
        </w:rPr>
        <w:t>in</w:t>
      </w:r>
      <w:r>
        <w:rPr>
          <w:color w:val="6E6158"/>
          <w:spacing w:val="10"/>
        </w:rPr>
        <w:t> </w:t>
      </w:r>
      <w:r>
        <w:rPr>
          <w:color w:val="6E6158"/>
        </w:rPr>
        <w:t>a</w:t>
      </w:r>
      <w:r>
        <w:rPr>
          <w:color w:val="6E6158"/>
          <w:spacing w:val="11"/>
        </w:rPr>
        <w:t> </w:t>
      </w:r>
      <w:r>
        <w:rPr>
          <w:color w:val="6E6158"/>
        </w:rPr>
        <w:t>California</w:t>
      </w:r>
      <w:r>
        <w:rPr>
          <w:color w:val="6E6158"/>
          <w:spacing w:val="10"/>
        </w:rPr>
        <w:t> </w:t>
      </w:r>
      <w:r>
        <w:rPr>
          <w:color w:val="6E6158"/>
        </w:rPr>
        <w:t>tax</w:t>
      </w:r>
      <w:r>
        <w:rPr>
          <w:color w:val="6E6158"/>
          <w:spacing w:val="10"/>
        </w:rPr>
        <w:t> </w:t>
      </w:r>
      <w:r>
        <w:rPr>
          <w:color w:val="6E6158"/>
        </w:rPr>
        <w:t>appeal</w:t>
      </w:r>
      <w:r>
        <w:rPr>
          <w:color w:val="6E6158"/>
          <w:spacing w:val="10"/>
        </w:rPr>
        <w:t> </w:t>
      </w:r>
      <w:r>
        <w:rPr>
          <w:color w:val="6E6158"/>
        </w:rPr>
        <w:t>that</w:t>
      </w:r>
      <w:r>
        <w:rPr>
          <w:color w:val="6E6158"/>
          <w:spacing w:val="10"/>
        </w:rPr>
        <w:t> </w:t>
      </w:r>
      <w:r>
        <w:rPr>
          <w:color w:val="6E6158"/>
        </w:rPr>
        <w:t>resulted</w:t>
      </w:r>
      <w:r>
        <w:rPr>
          <w:color w:val="6E6158"/>
          <w:spacing w:val="10"/>
        </w:rPr>
        <w:t> </w:t>
      </w:r>
      <w:r>
        <w:rPr>
          <w:color w:val="6E6158"/>
        </w:rPr>
        <w:t>in</w:t>
      </w:r>
      <w:r>
        <w:rPr>
          <w:color w:val="6E6158"/>
          <w:spacing w:val="11"/>
        </w:rPr>
        <w:t> </w:t>
      </w:r>
      <w:r>
        <w:rPr>
          <w:color w:val="6E6158"/>
        </w:rPr>
        <w:t>a</w:t>
      </w:r>
      <w:r>
        <w:rPr>
          <w:color w:val="6E6158"/>
          <w:spacing w:val="10"/>
        </w:rPr>
        <w:t> </w:t>
      </w:r>
      <w:r>
        <w:rPr>
          <w:color w:val="6E6158"/>
        </w:rPr>
        <w:t>refund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more</w:t>
      </w:r>
      <w:r>
        <w:rPr>
          <w:color w:val="6E6158"/>
          <w:spacing w:val="10"/>
        </w:rPr>
        <w:t> </w:t>
      </w:r>
      <w:r>
        <w:rPr>
          <w:color w:val="6E6158"/>
          <w:spacing w:val="-4"/>
        </w:rPr>
        <w:t>than</w:t>
      </w:r>
    </w:p>
    <w:p>
      <w:pPr>
        <w:pStyle w:val="BodyText"/>
        <w:spacing w:before="60"/>
      </w:pPr>
      <w:r>
        <w:rPr>
          <w:color w:val="6E6158"/>
        </w:rPr>
        <w:t>$220,000</w:t>
      </w:r>
      <w:r>
        <w:rPr>
          <w:color w:val="6E6158"/>
          <w:spacing w:val="10"/>
        </w:rPr>
        <w:t> </w:t>
      </w:r>
      <w:r>
        <w:rPr>
          <w:color w:val="6E6158"/>
        </w:rPr>
        <w:t>after</w:t>
      </w:r>
      <w:r>
        <w:rPr>
          <w:color w:val="6E6158"/>
          <w:spacing w:val="11"/>
        </w:rPr>
        <w:t> </w:t>
      </w:r>
      <w:r>
        <w:rPr>
          <w:color w:val="6E6158"/>
        </w:rPr>
        <w:t>the</w:t>
      </w:r>
      <w:r>
        <w:rPr>
          <w:color w:val="6E6158"/>
          <w:spacing w:val="11"/>
        </w:rPr>
        <w:t> </w:t>
      </w:r>
      <w:r>
        <w:rPr>
          <w:color w:val="6E6158"/>
        </w:rPr>
        <w:t>California</w:t>
      </w:r>
      <w:r>
        <w:rPr>
          <w:color w:val="6E6158"/>
          <w:spacing w:val="11"/>
        </w:rPr>
        <w:t> </w:t>
      </w:r>
      <w:r>
        <w:rPr>
          <w:color w:val="6E6158"/>
        </w:rPr>
        <w:t>Franchise</w:t>
      </w:r>
      <w:r>
        <w:rPr>
          <w:color w:val="6E6158"/>
          <w:spacing w:val="11"/>
        </w:rPr>
        <w:t> </w:t>
      </w:r>
      <w:r>
        <w:rPr>
          <w:color w:val="6E6158"/>
        </w:rPr>
        <w:t>Tax</w:t>
      </w:r>
      <w:r>
        <w:rPr>
          <w:color w:val="6E6158"/>
          <w:spacing w:val="11"/>
        </w:rPr>
        <w:t> </w:t>
      </w:r>
      <w:r>
        <w:rPr>
          <w:color w:val="6E6158"/>
        </w:rPr>
        <w:t>Board</w:t>
      </w:r>
      <w:r>
        <w:rPr>
          <w:color w:val="6E6158"/>
          <w:spacing w:val="10"/>
        </w:rPr>
        <w:t> </w:t>
      </w:r>
      <w:r>
        <w:rPr>
          <w:color w:val="6E6158"/>
        </w:rPr>
        <w:t>reversed</w:t>
      </w:r>
      <w:r>
        <w:rPr>
          <w:color w:val="6E6158"/>
          <w:spacing w:val="11"/>
        </w:rPr>
        <w:t> </w:t>
      </w:r>
      <w:r>
        <w:rPr>
          <w:color w:val="6E6158"/>
        </w:rPr>
        <w:t>its</w:t>
      </w:r>
      <w:r>
        <w:rPr>
          <w:color w:val="6E6158"/>
          <w:spacing w:val="11"/>
        </w:rPr>
        <w:t> </w:t>
      </w:r>
      <w:r>
        <w:rPr>
          <w:color w:val="6E6158"/>
        </w:rPr>
        <w:t>position</w:t>
      </w:r>
      <w:r>
        <w:rPr>
          <w:color w:val="6E6158"/>
          <w:spacing w:val="11"/>
        </w:rPr>
        <w:t> </w:t>
      </w:r>
      <w:r>
        <w:rPr>
          <w:color w:val="6E6158"/>
        </w:rPr>
        <w:t>on</w:t>
      </w:r>
      <w:r>
        <w:rPr>
          <w:color w:val="6E6158"/>
          <w:spacing w:val="11"/>
        </w:rPr>
        <w:t> </w:t>
      </w:r>
      <w:r>
        <w:rPr>
          <w:color w:val="6E6158"/>
        </w:rPr>
        <w:t>a</w:t>
      </w:r>
      <w:r>
        <w:rPr>
          <w:color w:val="6E6158"/>
          <w:spacing w:val="10"/>
        </w:rPr>
        <w:t> </w:t>
      </w:r>
      <w:r>
        <w:rPr>
          <w:color w:val="6E6158"/>
        </w:rPr>
        <w:t>late</w:t>
      </w:r>
      <w:r>
        <w:rPr>
          <w:color w:val="6E6158"/>
          <w:spacing w:val="11"/>
        </w:rPr>
        <w:t> </w:t>
      </w:r>
      <w:r>
        <w:rPr>
          <w:color w:val="6E6158"/>
        </w:rPr>
        <w:t>payment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penalty.</w:t>
      </w:r>
    </w:p>
    <w:p>
      <w:pPr>
        <w:pStyle w:val="BodyText"/>
        <w:spacing w:line="292" w:lineRule="auto" w:before="174"/>
        <w:ind w:right="617"/>
      </w:pPr>
      <w:r>
        <w:rPr>
          <w:color w:val="6E6158"/>
        </w:rPr>
        <w:t>Second-chaired a preliminary injunction evidentiary hearing in a physician departure </w:t>
      </w:r>
      <w:r>
        <w:rPr>
          <w:color w:val="6E6158"/>
        </w:rPr>
        <w:t>and restrictive covenant dispute on behalf of an oncology practice.</w:t>
      </w:r>
    </w:p>
    <w:p>
      <w:pPr>
        <w:pStyle w:val="BodyText"/>
        <w:spacing w:line="302" w:lineRule="auto" w:before="123"/>
        <w:ind w:right="617"/>
      </w:pPr>
      <w:r>
        <w:rPr>
          <w:color w:val="6E6158"/>
        </w:rPr>
        <w:t>Third-chaired a preliminary injunction evidentiary hearing in a physician restrictive covenant</w:t>
      </w:r>
      <w:r>
        <w:rPr>
          <w:color w:val="6E6158"/>
          <w:spacing w:val="40"/>
        </w:rPr>
        <w:t> </w:t>
      </w:r>
      <w:r>
        <w:rPr>
          <w:color w:val="6E6158"/>
        </w:rPr>
        <w:t>dispute,</w:t>
      </w:r>
      <w:r>
        <w:rPr>
          <w:color w:val="6E6158"/>
          <w:spacing w:val="14"/>
        </w:rPr>
        <w:t> </w:t>
      </w:r>
      <w:r>
        <w:rPr>
          <w:color w:val="6E6158"/>
        </w:rPr>
        <w:t>resulting</w:t>
      </w:r>
      <w:r>
        <w:rPr>
          <w:color w:val="6E6158"/>
          <w:spacing w:val="14"/>
        </w:rPr>
        <w:t> </w:t>
      </w:r>
      <w:r>
        <w:rPr>
          <w:color w:val="6E6158"/>
        </w:rPr>
        <w:t>in</w:t>
      </w:r>
      <w:r>
        <w:rPr>
          <w:color w:val="6E6158"/>
          <w:spacing w:val="14"/>
        </w:rPr>
        <w:t> </w:t>
      </w:r>
      <w:r>
        <w:rPr>
          <w:color w:val="6E6158"/>
        </w:rPr>
        <w:t>injunctive</w:t>
      </w:r>
      <w:r>
        <w:rPr>
          <w:color w:val="6E6158"/>
          <w:spacing w:val="14"/>
        </w:rPr>
        <w:t> </w:t>
      </w:r>
      <w:r>
        <w:rPr>
          <w:color w:val="6E6158"/>
        </w:rPr>
        <w:t>relief</w:t>
      </w:r>
      <w:r>
        <w:rPr>
          <w:color w:val="6E6158"/>
          <w:spacing w:val="15"/>
        </w:rPr>
        <w:t> </w:t>
      </w:r>
      <w:r>
        <w:rPr>
          <w:color w:val="6E6158"/>
        </w:rPr>
        <w:t>protecting</w:t>
      </w:r>
      <w:r>
        <w:rPr>
          <w:color w:val="6E6158"/>
          <w:spacing w:val="14"/>
        </w:rPr>
        <w:t> </w:t>
      </w:r>
      <w:r>
        <w:rPr>
          <w:color w:val="6E6158"/>
        </w:rPr>
        <w:t>a</w:t>
      </w:r>
      <w:r>
        <w:rPr>
          <w:color w:val="6E6158"/>
          <w:spacing w:val="14"/>
        </w:rPr>
        <w:t> </w:t>
      </w:r>
      <w:r>
        <w:rPr>
          <w:color w:val="6E6158"/>
        </w:rPr>
        <w:t>healthcare</w:t>
      </w:r>
      <w:r>
        <w:rPr>
          <w:color w:val="6E6158"/>
          <w:spacing w:val="14"/>
        </w:rPr>
        <w:t> </w:t>
      </w:r>
      <w:r>
        <w:rPr>
          <w:color w:val="6E6158"/>
        </w:rPr>
        <w:t>client’s</w:t>
      </w:r>
      <w:r>
        <w:rPr>
          <w:color w:val="6E6158"/>
          <w:spacing w:val="15"/>
        </w:rPr>
        <w:t> </w:t>
      </w:r>
      <w:r>
        <w:rPr>
          <w:color w:val="6E6158"/>
        </w:rPr>
        <w:t>confidential</w:t>
      </w:r>
      <w:r>
        <w:rPr>
          <w:color w:val="6E6158"/>
          <w:spacing w:val="14"/>
        </w:rPr>
        <w:t> </w:t>
      </w:r>
      <w:r>
        <w:rPr>
          <w:color w:val="6E6158"/>
          <w:spacing w:val="-2"/>
        </w:rPr>
        <w:t>information.</w:t>
      </w:r>
    </w:p>
    <w:p>
      <w:pPr>
        <w:pStyle w:val="BodyText"/>
        <w:spacing w:line="292" w:lineRule="auto" w:before="113"/>
        <w:ind w:right="617"/>
      </w:pPr>
      <w:r>
        <w:rPr>
          <w:color w:val="6E6158"/>
        </w:rPr>
        <w:t>Obtained summary judgment on all claims against a construction client and recovered nearly </w:t>
      </w:r>
      <w:r>
        <w:rPr>
          <w:color w:val="6E6158"/>
        </w:rPr>
        <w:t>all</w:t>
      </w:r>
      <w:r>
        <w:rPr>
          <w:color w:val="6E6158"/>
          <w:spacing w:val="80"/>
        </w:rPr>
        <w:t> </w:t>
      </w:r>
      <w:r>
        <w:rPr>
          <w:color w:val="6E6158"/>
        </w:rPr>
        <w:t>of</w:t>
      </w:r>
      <w:r>
        <w:rPr>
          <w:color w:val="6E6158"/>
          <w:spacing w:val="26"/>
        </w:rPr>
        <w:t> </w:t>
      </w:r>
      <w:r>
        <w:rPr>
          <w:color w:val="6E6158"/>
        </w:rPr>
        <w:t>the</w:t>
      </w:r>
      <w:r>
        <w:rPr>
          <w:color w:val="6E6158"/>
          <w:spacing w:val="26"/>
        </w:rPr>
        <w:t> </w:t>
      </w:r>
      <w:r>
        <w:rPr>
          <w:color w:val="6E6158"/>
        </w:rPr>
        <w:t>client’s</w:t>
      </w:r>
      <w:r>
        <w:rPr>
          <w:color w:val="6E6158"/>
          <w:spacing w:val="26"/>
        </w:rPr>
        <w:t> </w:t>
      </w:r>
      <w:r>
        <w:rPr>
          <w:color w:val="6E6158"/>
        </w:rPr>
        <w:t>attorneys’</w:t>
      </w:r>
      <w:r>
        <w:rPr>
          <w:color w:val="6E6158"/>
          <w:spacing w:val="26"/>
        </w:rPr>
        <w:t> </w:t>
      </w:r>
      <w:r>
        <w:rPr>
          <w:color w:val="6E6158"/>
        </w:rPr>
        <w:t>fees</w:t>
      </w:r>
      <w:r>
        <w:rPr>
          <w:color w:val="6E6158"/>
          <w:spacing w:val="26"/>
        </w:rPr>
        <w:t> </w:t>
      </w:r>
      <w:r>
        <w:rPr>
          <w:color w:val="6E6158"/>
        </w:rPr>
        <w:t>and</w:t>
      </w:r>
      <w:r>
        <w:rPr>
          <w:color w:val="6E6158"/>
          <w:spacing w:val="26"/>
        </w:rPr>
        <w:t> </w:t>
      </w:r>
      <w:r>
        <w:rPr>
          <w:color w:val="6E6158"/>
        </w:rPr>
        <w:t>costs</w:t>
      </w:r>
      <w:r>
        <w:rPr>
          <w:color w:val="6E6158"/>
          <w:spacing w:val="26"/>
        </w:rPr>
        <w:t> </w:t>
      </w:r>
      <w:r>
        <w:rPr>
          <w:color w:val="6E6158"/>
        </w:rPr>
        <w:t>after</w:t>
      </w:r>
      <w:r>
        <w:rPr>
          <w:color w:val="6E6158"/>
          <w:spacing w:val="26"/>
        </w:rPr>
        <w:t> </w:t>
      </w:r>
      <w:r>
        <w:rPr>
          <w:color w:val="6E6158"/>
        </w:rPr>
        <w:t>taking</w:t>
      </w:r>
      <w:r>
        <w:rPr>
          <w:color w:val="6E6158"/>
          <w:spacing w:val="26"/>
        </w:rPr>
        <w:t> </w:t>
      </w:r>
      <w:r>
        <w:rPr>
          <w:color w:val="6E6158"/>
        </w:rPr>
        <w:t>the</w:t>
      </w:r>
      <w:r>
        <w:rPr>
          <w:color w:val="6E6158"/>
          <w:spacing w:val="26"/>
        </w:rPr>
        <w:t> </w:t>
      </w:r>
      <w:r>
        <w:rPr>
          <w:color w:val="6E6158"/>
        </w:rPr>
        <w:t>lead</w:t>
      </w:r>
      <w:r>
        <w:rPr>
          <w:color w:val="6E6158"/>
          <w:spacing w:val="26"/>
        </w:rPr>
        <w:t> </w:t>
      </w:r>
      <w:r>
        <w:rPr>
          <w:color w:val="6E6158"/>
        </w:rPr>
        <w:t>on</w:t>
      </w:r>
      <w:r>
        <w:rPr>
          <w:color w:val="6E6158"/>
          <w:spacing w:val="26"/>
        </w:rPr>
        <w:t> </w:t>
      </w:r>
      <w:r>
        <w:rPr>
          <w:color w:val="6E6158"/>
        </w:rPr>
        <w:t>dispositive</w:t>
      </w:r>
      <w:r>
        <w:rPr>
          <w:color w:val="6E6158"/>
          <w:spacing w:val="26"/>
        </w:rPr>
        <w:t> </w:t>
      </w:r>
      <w:r>
        <w:rPr>
          <w:color w:val="6E6158"/>
        </w:rPr>
        <w:t>briefing</w:t>
      </w:r>
      <w:r>
        <w:rPr>
          <w:color w:val="6E6158"/>
          <w:spacing w:val="26"/>
        </w:rPr>
        <w:t> </w:t>
      </w:r>
      <w:r>
        <w:rPr>
          <w:color w:val="6E6158"/>
        </w:rPr>
        <w:t>and</w:t>
      </w:r>
      <w:r>
        <w:rPr>
          <w:color w:val="6E6158"/>
          <w:spacing w:val="26"/>
        </w:rPr>
        <w:t> </w:t>
      </w:r>
      <w:r>
        <w:rPr>
          <w:color w:val="6E6158"/>
        </w:rPr>
        <w:t>oral</w:t>
      </w:r>
    </w:p>
    <w:p>
      <w:pPr>
        <w:pStyle w:val="BodyText"/>
        <w:spacing w:before="9"/>
      </w:pPr>
      <w:r>
        <w:rPr>
          <w:color w:val="6E6158"/>
          <w:spacing w:val="-2"/>
        </w:rPr>
        <w:t>argument.</w:t>
      </w:r>
    </w:p>
    <w:p>
      <w:pPr>
        <w:pStyle w:val="BodyText"/>
        <w:spacing w:line="292" w:lineRule="auto" w:before="174"/>
        <w:ind w:right="1124"/>
      </w:pPr>
      <w:r>
        <w:rPr>
          <w:color w:val="6E6158"/>
        </w:rPr>
        <w:t>Third-chaired a six-day jury trial in a complex commercial contract and implied covenant</w:t>
      </w:r>
      <w:r>
        <w:rPr>
          <w:color w:val="6E6158"/>
          <w:spacing w:val="40"/>
        </w:rPr>
        <w:t> </w:t>
      </w:r>
      <w:r>
        <w:rPr>
          <w:color w:val="6E6158"/>
        </w:rPr>
        <w:t>dispute involving an aircraft engine maintenance program.</w:t>
      </w:r>
    </w:p>
    <w:p>
      <w:pPr>
        <w:pStyle w:val="BodyText"/>
        <w:spacing w:line="302" w:lineRule="auto" w:before="124"/>
        <w:ind w:right="617"/>
      </w:pPr>
      <w:r>
        <w:rPr>
          <w:color w:val="6E6158"/>
        </w:rPr>
        <w:t>Successfully represented then-Governor Doug Ducey and the Arizona Department of </w:t>
      </w:r>
      <w:r>
        <w:rPr>
          <w:color w:val="6E6158"/>
        </w:rPr>
        <w:t>Economic</w:t>
      </w:r>
      <w:r>
        <w:rPr>
          <w:color w:val="6E6158"/>
          <w:spacing w:val="40"/>
        </w:rPr>
        <w:t> </w:t>
      </w:r>
      <w:r>
        <w:rPr>
          <w:color w:val="6E6158"/>
        </w:rPr>
        <w:t>Security</w:t>
      </w:r>
      <w:r>
        <w:rPr>
          <w:color w:val="6E6158"/>
          <w:spacing w:val="39"/>
        </w:rPr>
        <w:t> </w:t>
      </w:r>
      <w:r>
        <w:rPr>
          <w:color w:val="6E6158"/>
        </w:rPr>
        <w:t>in</w:t>
      </w:r>
      <w:r>
        <w:rPr>
          <w:color w:val="6E6158"/>
          <w:spacing w:val="39"/>
        </w:rPr>
        <w:t> </w:t>
      </w:r>
      <w:r>
        <w:rPr>
          <w:color w:val="6E6158"/>
        </w:rPr>
        <w:t>litigation</w:t>
      </w:r>
      <w:r>
        <w:rPr>
          <w:color w:val="6E6158"/>
          <w:spacing w:val="39"/>
        </w:rPr>
        <w:t> </w:t>
      </w:r>
      <w:r>
        <w:rPr>
          <w:color w:val="6E6158"/>
        </w:rPr>
        <w:t>challenging</w:t>
      </w:r>
      <w:r>
        <w:rPr>
          <w:color w:val="6E6158"/>
          <w:spacing w:val="39"/>
        </w:rPr>
        <w:t> </w:t>
      </w:r>
      <w:r>
        <w:rPr>
          <w:color w:val="6E6158"/>
        </w:rPr>
        <w:t>Arizona’s</w:t>
      </w:r>
      <w:r>
        <w:rPr>
          <w:color w:val="6E6158"/>
          <w:spacing w:val="39"/>
        </w:rPr>
        <w:t> </w:t>
      </w:r>
      <w:r>
        <w:rPr>
          <w:color w:val="6E6158"/>
        </w:rPr>
        <w:t>termination</w:t>
      </w:r>
      <w:r>
        <w:rPr>
          <w:color w:val="6E6158"/>
          <w:spacing w:val="39"/>
        </w:rPr>
        <w:t> </w:t>
      </w:r>
      <w:r>
        <w:rPr>
          <w:color w:val="6E6158"/>
        </w:rPr>
        <w:t>of</w:t>
      </w:r>
      <w:r>
        <w:rPr>
          <w:color w:val="6E6158"/>
          <w:spacing w:val="39"/>
        </w:rPr>
        <w:t> </w:t>
      </w:r>
      <w:r>
        <w:rPr>
          <w:color w:val="6E6158"/>
        </w:rPr>
        <w:t>participation</w:t>
      </w:r>
      <w:r>
        <w:rPr>
          <w:color w:val="6E6158"/>
          <w:spacing w:val="39"/>
        </w:rPr>
        <w:t> </w:t>
      </w:r>
      <w:r>
        <w:rPr>
          <w:color w:val="6E6158"/>
        </w:rPr>
        <w:t>in</w:t>
      </w:r>
      <w:r>
        <w:rPr>
          <w:color w:val="6E6158"/>
          <w:spacing w:val="39"/>
        </w:rPr>
        <w:t> </w:t>
      </w:r>
      <w:r>
        <w:rPr>
          <w:color w:val="6E6158"/>
        </w:rPr>
        <w:t>federal</w:t>
      </w:r>
      <w:r>
        <w:rPr>
          <w:color w:val="6E6158"/>
          <w:spacing w:val="39"/>
        </w:rPr>
        <w:t> </w:t>
      </w:r>
      <w:r>
        <w:rPr>
          <w:color w:val="6E6158"/>
        </w:rPr>
        <w:t>pandemic</w:t>
      </w:r>
    </w:p>
    <w:p>
      <w:pPr>
        <w:spacing w:line="226" w:lineRule="exact" w:before="0"/>
        <w:ind w:left="99" w:right="0" w:firstLine="0"/>
        <w:jc w:val="left"/>
        <w:rPr>
          <w:i/>
          <w:sz w:val="20"/>
        </w:rPr>
      </w:pPr>
      <w:r>
        <w:rPr>
          <w:color w:val="6E6158"/>
          <w:sz w:val="19"/>
        </w:rPr>
        <w:t>unemployment</w:t>
      </w:r>
      <w:r>
        <w:rPr>
          <w:color w:val="6E6158"/>
          <w:spacing w:val="6"/>
          <w:sz w:val="19"/>
        </w:rPr>
        <w:t> </w:t>
      </w:r>
      <w:r>
        <w:rPr>
          <w:color w:val="6E6158"/>
          <w:sz w:val="19"/>
        </w:rPr>
        <w:t>benefit</w:t>
      </w:r>
      <w:r>
        <w:rPr>
          <w:color w:val="6E6158"/>
          <w:spacing w:val="7"/>
          <w:sz w:val="19"/>
        </w:rPr>
        <w:t> </w:t>
      </w:r>
      <w:r>
        <w:rPr>
          <w:color w:val="6E6158"/>
          <w:sz w:val="19"/>
        </w:rPr>
        <w:t>programs,</w:t>
      </w:r>
      <w:r>
        <w:rPr>
          <w:color w:val="6E6158"/>
          <w:spacing w:val="6"/>
          <w:sz w:val="19"/>
        </w:rPr>
        <w:t> </w:t>
      </w:r>
      <w:r>
        <w:rPr>
          <w:color w:val="6E6158"/>
          <w:sz w:val="19"/>
        </w:rPr>
        <w:t>securing</w:t>
      </w:r>
      <w:r>
        <w:rPr>
          <w:color w:val="6E6158"/>
          <w:spacing w:val="7"/>
          <w:sz w:val="19"/>
        </w:rPr>
        <w:t> </w:t>
      </w:r>
      <w:r>
        <w:rPr>
          <w:color w:val="6E6158"/>
          <w:sz w:val="19"/>
        </w:rPr>
        <w:t>affirmance</w:t>
      </w:r>
      <w:r>
        <w:rPr>
          <w:color w:val="6E6158"/>
          <w:spacing w:val="6"/>
          <w:sz w:val="19"/>
        </w:rPr>
        <w:t> </w:t>
      </w:r>
      <w:r>
        <w:rPr>
          <w:color w:val="6E6158"/>
          <w:sz w:val="19"/>
        </w:rPr>
        <w:t>on</w:t>
      </w:r>
      <w:r>
        <w:rPr>
          <w:color w:val="6E6158"/>
          <w:spacing w:val="7"/>
          <w:sz w:val="19"/>
        </w:rPr>
        <w:t> </w:t>
      </w:r>
      <w:r>
        <w:rPr>
          <w:color w:val="6E6158"/>
          <w:sz w:val="19"/>
        </w:rPr>
        <w:t>appeal.</w:t>
      </w:r>
      <w:r>
        <w:rPr>
          <w:color w:val="6E6158"/>
          <w:spacing w:val="7"/>
          <w:sz w:val="19"/>
        </w:rPr>
        <w:t> </w:t>
      </w:r>
      <w:r>
        <w:rPr>
          <w:i/>
          <w:color w:val="6E6158"/>
          <w:sz w:val="20"/>
        </w:rPr>
        <w:t>Unemployed</w:t>
      </w:r>
      <w:r>
        <w:rPr>
          <w:i/>
          <w:color w:val="6E6158"/>
          <w:spacing w:val="4"/>
          <w:sz w:val="20"/>
        </w:rPr>
        <w:t> </w:t>
      </w:r>
      <w:r>
        <w:rPr>
          <w:i/>
          <w:color w:val="6E6158"/>
          <w:sz w:val="20"/>
        </w:rPr>
        <w:t>Workers</w:t>
      </w:r>
      <w:r>
        <w:rPr>
          <w:i/>
          <w:color w:val="6E6158"/>
          <w:spacing w:val="4"/>
          <w:sz w:val="20"/>
        </w:rPr>
        <w:t> </w:t>
      </w:r>
      <w:r>
        <w:rPr>
          <w:i/>
          <w:color w:val="6E6158"/>
          <w:spacing w:val="-2"/>
          <w:sz w:val="20"/>
        </w:rPr>
        <w:t>United</w:t>
      </w:r>
    </w:p>
    <w:p>
      <w:pPr>
        <w:spacing w:before="39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v.</w:t>
      </w:r>
      <w:r>
        <w:rPr>
          <w:i/>
          <w:color w:val="6E6158"/>
          <w:spacing w:val="-2"/>
          <w:sz w:val="20"/>
        </w:rPr>
        <w:t> </w:t>
      </w:r>
      <w:r>
        <w:rPr>
          <w:i/>
          <w:color w:val="6E6158"/>
          <w:sz w:val="20"/>
        </w:rPr>
        <w:t>Ducey</w:t>
      </w:r>
      <w:r>
        <w:rPr>
          <w:color w:val="6E6158"/>
          <w:sz w:val="19"/>
        </w:rPr>
        <w:t>,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254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Ariz.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95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(App.</w:t>
      </w:r>
      <w:r>
        <w:rPr>
          <w:color w:val="6E6158"/>
          <w:spacing w:val="2"/>
          <w:sz w:val="19"/>
        </w:rPr>
        <w:t> </w:t>
      </w:r>
      <w:r>
        <w:rPr>
          <w:color w:val="6E6158"/>
          <w:spacing w:val="-2"/>
          <w:sz w:val="19"/>
        </w:rPr>
        <w:t>2022).</w:t>
      </w:r>
    </w:p>
    <w:p>
      <w:pPr>
        <w:pStyle w:val="BodyText"/>
        <w:spacing w:before="161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36"/>
        <w:ind w:left="0"/>
        <w:rPr>
          <w:b/>
        </w:rPr>
      </w:pPr>
    </w:p>
    <w:p>
      <w:pPr>
        <w:pStyle w:val="BodyText"/>
        <w:spacing w:line="292" w:lineRule="auto"/>
      </w:pPr>
      <w:r>
        <w:rPr>
          <w:color w:val="6E6158"/>
        </w:rPr>
        <w:t>Co-Author, “</w:t>
      </w:r>
      <w:hyperlink r:id="rId11">
        <w:r>
          <w:rPr>
            <w:color w:val="F5821F"/>
          </w:rPr>
          <w:t>Seven Significant Differences Between Arizona and Federal Civil Procedure in 2024</w:t>
        </w:r>
      </w:hyperlink>
      <w:r>
        <w:rPr>
          <w:color w:val="6E6158"/>
        </w:rPr>
        <w:t>,”</w:t>
      </w:r>
      <w:r>
        <w:rPr>
          <w:color w:val="6E6158"/>
          <w:spacing w:val="40"/>
        </w:rPr>
        <w:t> </w:t>
      </w:r>
      <w:r>
        <w:rPr>
          <w:color w:val="6E6158"/>
        </w:rPr>
        <w:t>Fennemore Blog, June 20, 2024</w:t>
      </w:r>
    </w:p>
    <w:p>
      <w:pPr>
        <w:pStyle w:val="BodyText"/>
        <w:spacing w:line="292" w:lineRule="auto" w:before="123"/>
        <w:ind w:right="1124"/>
      </w:pPr>
      <w:hyperlink r:id="rId12">
        <w:r>
          <w:rPr>
            <w:color w:val="FF8100"/>
          </w:rPr>
          <w:t>Co-author, “OSHA Issues Emergency Temporary Standard for Health Care </w:t>
        </w:r>
        <w:r>
          <w:rPr>
            <w:color w:val="FF8100"/>
          </w:rPr>
          <w:t>Employers,”</w:t>
        </w:r>
      </w:hyperlink>
      <w:r>
        <w:rPr>
          <w:color w:val="FF8100"/>
        </w:rPr>
        <w:t> </w:t>
      </w:r>
      <w:hyperlink r:id="rId12">
        <w:r>
          <w:rPr>
            <w:color w:val="FF8100"/>
          </w:rPr>
          <w:t>Fennemore Client Alert, July 8, 2021</w:t>
        </w:r>
      </w:hyperlink>
    </w:p>
    <w:p>
      <w:pPr>
        <w:pStyle w:val="BodyText"/>
        <w:spacing w:before="120"/>
        <w:ind w:left="0"/>
        <w:rPr>
          <w:sz w:val="24"/>
        </w:rPr>
      </w:pPr>
    </w:p>
    <w:p>
      <w:pPr>
        <w:pStyle w:val="Heading1"/>
        <w:spacing w:before="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AFFILIATIONS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</w:pPr>
      <w:r>
        <w:rPr>
          <w:color w:val="6E6158"/>
        </w:rPr>
        <w:t>Member,</w:t>
      </w:r>
      <w:r>
        <w:rPr>
          <w:color w:val="6E6158"/>
          <w:spacing w:val="8"/>
        </w:rPr>
        <w:t> </w:t>
      </w:r>
      <w:r>
        <w:rPr>
          <w:color w:val="6E6158"/>
        </w:rPr>
        <w:t>Auxiliary</w:t>
      </w:r>
      <w:r>
        <w:rPr>
          <w:color w:val="6E6158"/>
          <w:spacing w:val="9"/>
        </w:rPr>
        <w:t> </w:t>
      </w:r>
      <w:r>
        <w:rPr>
          <w:color w:val="6E6158"/>
        </w:rPr>
        <w:t>Board,</w:t>
      </w:r>
      <w:r>
        <w:rPr>
          <w:color w:val="6E6158"/>
          <w:spacing w:val="8"/>
        </w:rPr>
        <w:t> </w:t>
      </w:r>
      <w:r>
        <w:rPr>
          <w:color w:val="6E6158"/>
        </w:rPr>
        <w:t>Fresh</w:t>
      </w:r>
      <w:r>
        <w:rPr>
          <w:color w:val="6E6158"/>
          <w:spacing w:val="9"/>
        </w:rPr>
        <w:t> </w:t>
      </w:r>
      <w:r>
        <w:rPr>
          <w:color w:val="6E6158"/>
        </w:rPr>
        <w:t>Start</w:t>
      </w:r>
      <w:r>
        <w:rPr>
          <w:color w:val="6E6158"/>
          <w:spacing w:val="9"/>
        </w:rPr>
        <w:t> </w:t>
      </w:r>
      <w:r>
        <w:rPr>
          <w:color w:val="6E6158"/>
        </w:rPr>
        <w:t>Women’s</w:t>
      </w:r>
      <w:r>
        <w:rPr>
          <w:color w:val="6E6158"/>
          <w:spacing w:val="8"/>
        </w:rPr>
        <w:t> </w:t>
      </w:r>
      <w:r>
        <w:rPr>
          <w:color w:val="6E6158"/>
          <w:spacing w:val="-2"/>
        </w:rPr>
        <w:t>Foundation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</w:pPr>
      <w:r>
        <w:rPr>
          <w:color w:val="6E6158"/>
          <w:spacing w:val="-2"/>
        </w:rPr>
        <w:t>Arizona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Court,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Arizona</w:t>
      </w:r>
    </w:p>
    <w:p>
      <w:pPr>
        <w:pStyle w:val="BodyText"/>
        <w:spacing w:before="182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Court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</w:rPr>
        <w:t>Appeals,</w:t>
      </w:r>
      <w:r>
        <w:rPr>
          <w:color w:val="6E6158"/>
          <w:spacing w:val="11"/>
        </w:rPr>
        <w:t> </w:t>
      </w:r>
      <w:r>
        <w:rPr>
          <w:color w:val="6E6158"/>
        </w:rPr>
        <w:t>Federal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Circuit</w:t>
      </w:r>
    </w:p>
    <w:sectPr>
      <w:pgSz w:w="12240" w:h="15840"/>
      <w:pgMar w:top="48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litigation/" TargetMode="External"/><Relationship Id="rId9" Type="http://schemas.openxmlformats.org/officeDocument/2006/relationships/hyperlink" Target="https://www.fennemorelaw.com/contact-us/phoenix/" TargetMode="External"/><Relationship Id="rId10" Type="http://schemas.openxmlformats.org/officeDocument/2006/relationships/hyperlink" Target="mailto:lmaasch@fennemorelaw.com" TargetMode="External"/><Relationship Id="rId11" Type="http://schemas.openxmlformats.org/officeDocument/2006/relationships/hyperlink" Target="https://www.fennemorelaw.com/seven-significant-differences-between-arizona-and-federal-civil-procedure-in-2024/" TargetMode="External"/><Relationship Id="rId12" Type="http://schemas.openxmlformats.org/officeDocument/2006/relationships/hyperlink" Target="https://www.fennemorelaw.com/insights/newsletters/2021/osha-issues-emergency-temporary-standard-for-health-care-employers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Lyndsey Maasch - Fennemore</dc:title>
  <dcterms:created xsi:type="dcterms:W3CDTF">2026-09-14T23:28:20Z</dcterms:created>
  <dcterms:modified xsi:type="dcterms:W3CDTF">2026-09-14T23:28:20Z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2026-09-14T00:00:00Z</vt:filetime>
  </property>
  <property fmtid="{D5CDD505-2E9C-101B-9397-08002B2CF9AE}" pid="4" name="Creator">
    <vt:lpwstr>Mozilla/5.0 (X11; Linux x86_64) AppleWebKit/537.36 (KHTML, like Gecko) HeadlessChrome/152.0.0.0 Safari/537.36</vt:lpwstr>
  </property>
  <property fmtid="{D5CDD505-2E9C-101B-9397-08002B2CF9AE}" pid="5" name="LastSaved">
    <vt:filetime>2026-09-14T00:00:00Z</vt:filetime>
  </property>
  <property fmtid="{D5CDD505-2E9C-101B-9397-08002B2CF9AE}" pid="6" name="Producer">
    <vt:lpwstr>Skia/PDF m152</vt:lpwstr>
  </property>
</Properties>
</file>