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atrick Keery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8603" y="1369338"/>
                            <a:ext cx="20878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7880" h="320675">
                                <a:moveTo>
                                  <a:pt x="208758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87587" y="320382"/>
                                </a:lnTo>
                                <a:lnTo>
                                  <a:pt x="2087587" y="315214"/>
                                </a:lnTo>
                                <a:close/>
                              </a:path>
                              <a:path w="2087880" h="320675">
                                <a:moveTo>
                                  <a:pt x="2087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87587" y="5168"/>
                                </a:lnTo>
                                <a:lnTo>
                                  <a:pt x="2087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10139" y="763308"/>
                            <a:ext cx="209994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" w:right="19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PATRICK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F.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KEERY</w:t>
                              </w:r>
                            </w:p>
                            <w:p>
                              <w:pPr>
                                <w:spacing w:before="39"/>
                                <w:ind w:left="1" w:right="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Bankruptcy,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Creditors’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Rights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Insolvency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0232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42946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41008" y="2226505"/>
                            <a:ext cx="14382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pkeery@fennemorelaw.com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Patrick Keery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61;top:-2501;width:3288;height:505" id="docshape5" coordorigin="6862,-2500" coordsize="3288,505" path="m10149,-2004l6862,-2004,6862,-1996,10149,-1996,10149,-2004xm10149,-2500l6862,-2500,6862,-2492,10149,-2492,10149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63;top:-3455;width:3307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1" w:right="19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PATRICK</w:t>
                        </w:r>
                        <w:r>
                          <w:rPr>
                            <w:color w:val="FFFFFF"/>
                            <w:spacing w:val="-19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F.</w:t>
                        </w:r>
                        <w:r>
                          <w:rPr>
                            <w:color w:val="FFFFFF"/>
                            <w:spacing w:val="-19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KEERY</w:t>
                        </w:r>
                      </w:p>
                      <w:p>
                        <w:pPr>
                          <w:spacing w:before="39"/>
                          <w:ind w:left="1" w:right="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Bankruptcy,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Creditors’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Rights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Insolvency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90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602.916.5365</w:t>
                        </w:r>
                      </w:p>
                    </w:txbxContent>
                  </v:textbox>
                  <w10:wrap type="none"/>
                </v:shape>
                <v:shape style="position:absolute;left:8805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385;top:-1151;width:226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pkeery@fennemorelaw.com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PATRICK</w:t>
      </w:r>
      <w:r>
        <w:rPr>
          <w:color w:val="FF8100"/>
          <w:spacing w:val="6"/>
        </w:rPr>
        <w:t> </w:t>
      </w:r>
      <w:r>
        <w:rPr>
          <w:color w:val="FF8100"/>
        </w:rPr>
        <w:t>F.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KEERY</w:t>
      </w:r>
    </w:p>
    <w:p>
      <w:pPr>
        <w:pStyle w:val="BodyText"/>
        <w:spacing w:line="297" w:lineRule="auto" w:before="147"/>
        <w:ind w:left="99" w:right="247"/>
      </w:pPr>
      <w:r>
        <w:rPr>
          <w:color w:val="6E6158"/>
        </w:rPr>
        <w:t>Patrick F. Keery is a Phoenix business attorney and director at Fennemore who advises businesses,</w:t>
      </w:r>
      <w:r>
        <w:rPr>
          <w:color w:val="6E6158"/>
          <w:spacing w:val="40"/>
        </w:rPr>
        <w:t> </w:t>
      </w:r>
      <w:r>
        <w:rPr>
          <w:color w:val="6E6158"/>
        </w:rPr>
        <w:t>owners, and entrepreneurs on financial challenges, business transactions and complex</w:t>
      </w:r>
      <w:r>
        <w:rPr>
          <w:color w:val="6E6158"/>
          <w:spacing w:val="80"/>
        </w:rPr>
        <w:t> </w:t>
      </w:r>
      <w:r>
        <w:rPr>
          <w:color w:val="6E6158"/>
        </w:rPr>
        <w:t>commercial</w:t>
      </w:r>
      <w:r>
        <w:rPr>
          <w:color w:val="6E6158"/>
          <w:spacing w:val="38"/>
        </w:rPr>
        <w:t> </w:t>
      </w:r>
      <w:r>
        <w:rPr>
          <w:color w:val="6E6158"/>
        </w:rPr>
        <w:t>disputes.</w:t>
      </w:r>
      <w:r>
        <w:rPr>
          <w:color w:val="6E6158"/>
          <w:spacing w:val="38"/>
        </w:rPr>
        <w:t> </w:t>
      </w:r>
      <w:r>
        <w:rPr>
          <w:color w:val="6E6158"/>
        </w:rPr>
        <w:t>His</w:t>
      </w:r>
      <w:r>
        <w:rPr>
          <w:color w:val="6E6158"/>
          <w:spacing w:val="38"/>
        </w:rPr>
        <w:t> </w:t>
      </w:r>
      <w:r>
        <w:rPr>
          <w:color w:val="6E6158"/>
        </w:rPr>
        <w:t>practice</w:t>
      </w:r>
      <w:r>
        <w:rPr>
          <w:color w:val="6E6158"/>
          <w:spacing w:val="38"/>
        </w:rPr>
        <w:t> </w:t>
      </w:r>
      <w:r>
        <w:rPr>
          <w:color w:val="6E6158"/>
        </w:rPr>
        <w:t>focuses</w:t>
      </w:r>
      <w:r>
        <w:rPr>
          <w:color w:val="6E6158"/>
          <w:spacing w:val="38"/>
        </w:rPr>
        <w:t> </w:t>
      </w:r>
      <w:r>
        <w:rPr>
          <w:color w:val="6E6158"/>
        </w:rPr>
        <w:t>on</w:t>
      </w:r>
      <w:r>
        <w:rPr>
          <w:color w:val="6E6158"/>
          <w:spacing w:val="38"/>
        </w:rPr>
        <w:t> </w:t>
      </w:r>
      <w:r>
        <w:rPr>
          <w:color w:val="6E6158"/>
        </w:rPr>
        <w:t>bankruptcy</w:t>
      </w:r>
      <w:r>
        <w:rPr>
          <w:color w:val="6E6158"/>
          <w:spacing w:val="38"/>
        </w:rPr>
        <w:t> </w:t>
      </w:r>
      <w:r>
        <w:rPr>
          <w:color w:val="6E6158"/>
        </w:rPr>
        <w:t>representation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litigation,</w:t>
      </w:r>
      <w:r>
        <w:rPr>
          <w:color w:val="6E6158"/>
          <w:spacing w:val="38"/>
        </w:rPr>
        <w:t> </w:t>
      </w:r>
      <w:r>
        <w:rPr>
          <w:color w:val="6E6158"/>
        </w:rPr>
        <w:t>debt</w:t>
      </w:r>
    </w:p>
    <w:p>
      <w:pPr>
        <w:pStyle w:val="BodyText"/>
        <w:spacing w:line="302" w:lineRule="auto"/>
        <w:ind w:left="99" w:right="247"/>
      </w:pPr>
      <w:r>
        <w:rPr>
          <w:color w:val="6E6158"/>
        </w:rPr>
        <w:t>workouts, mergers and acquisitions, business structuring, financially based litigation and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tort litigation.</w:t>
      </w:r>
    </w:p>
    <w:p>
      <w:pPr>
        <w:pStyle w:val="BodyText"/>
        <w:spacing w:line="295" w:lineRule="auto" w:before="182"/>
        <w:ind w:left="99" w:right="247"/>
      </w:pPr>
      <w:r>
        <w:rPr>
          <w:color w:val="6E6158"/>
        </w:rPr>
        <w:t>Patrick helps clients evaluate practical legal and business strategies when financial pressure,</w:t>
      </w:r>
      <w:r>
        <w:rPr>
          <w:color w:val="6E6158"/>
          <w:spacing w:val="40"/>
        </w:rPr>
        <w:t> </w:t>
      </w:r>
      <w:r>
        <w:rPr>
          <w:color w:val="6E6158"/>
        </w:rPr>
        <w:t>disputed obligations or a pending transaction may affect the future of an enterprise. He</w:t>
      </w:r>
      <w:r>
        <w:rPr>
          <w:color w:val="6E6158"/>
          <w:spacing w:val="80"/>
        </w:rPr>
        <w:t> </w:t>
      </w:r>
      <w:r>
        <w:rPr>
          <w:color w:val="6E6158"/>
        </w:rPr>
        <w:t>represents debtors in Chapter 11 bankruptcy proceedings, handles bankruptcy-related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and assists with debt workouts and other efforts to resolve financial distress. He also advises</w:t>
      </w:r>
      <w:r>
        <w:rPr>
          <w:color w:val="6E6158"/>
          <w:spacing w:val="40"/>
        </w:rPr>
        <w:t> </w:t>
      </w:r>
      <w:r>
        <w:rPr>
          <w:color w:val="6E6158"/>
        </w:rPr>
        <w:t>businesses on mergers and acquisitions, business transactions and entity structuring, with a focus</w:t>
      </w:r>
      <w:r>
        <w:rPr>
          <w:color w:val="6E6158"/>
          <w:spacing w:val="40"/>
        </w:rPr>
        <w:t> </w:t>
      </w:r>
      <w:r>
        <w:rPr>
          <w:color w:val="6E6158"/>
        </w:rPr>
        <w:t>on aligning legal strategies with broader business objectives.</w:t>
      </w:r>
    </w:p>
    <w:p>
      <w:pPr>
        <w:pStyle w:val="BodyText"/>
        <w:spacing w:before="193"/>
        <w:ind w:left="99"/>
      </w:pPr>
      <w:r>
        <w:rPr>
          <w:color w:val="6E6158"/>
        </w:rPr>
        <w:t>When</w:t>
      </w:r>
      <w:r>
        <w:rPr>
          <w:color w:val="6E6158"/>
          <w:spacing w:val="14"/>
        </w:rPr>
        <w:t> </w:t>
      </w:r>
      <w:r>
        <w:rPr>
          <w:color w:val="6E6158"/>
        </w:rPr>
        <w:t>disputes</w:t>
      </w:r>
      <w:r>
        <w:rPr>
          <w:color w:val="6E6158"/>
          <w:spacing w:val="14"/>
        </w:rPr>
        <w:t> </w:t>
      </w:r>
      <w:r>
        <w:rPr>
          <w:color w:val="6E6158"/>
        </w:rPr>
        <w:t>arise,</w:t>
      </w:r>
      <w:r>
        <w:rPr>
          <w:color w:val="6E6158"/>
          <w:spacing w:val="14"/>
        </w:rPr>
        <w:t> </w:t>
      </w:r>
      <w:r>
        <w:rPr>
          <w:color w:val="6E6158"/>
        </w:rPr>
        <w:t>Patrick</w:t>
      </w:r>
      <w:r>
        <w:rPr>
          <w:color w:val="6E6158"/>
          <w:spacing w:val="14"/>
        </w:rPr>
        <w:t> </w:t>
      </w:r>
      <w:r>
        <w:rPr>
          <w:color w:val="6E6158"/>
        </w:rPr>
        <w:t>brings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pragmatic</w:t>
      </w:r>
      <w:r>
        <w:rPr>
          <w:color w:val="6E6158"/>
          <w:spacing w:val="14"/>
        </w:rPr>
        <w:t> </w:t>
      </w:r>
      <w:r>
        <w:rPr>
          <w:color w:val="6E6158"/>
        </w:rPr>
        <w:t>approach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negotiation,</w:t>
      </w:r>
      <w:r>
        <w:rPr>
          <w:color w:val="6E6158"/>
          <w:spacing w:val="14"/>
        </w:rPr>
        <w:t> </w:t>
      </w:r>
      <w:r>
        <w:rPr>
          <w:color w:val="6E6158"/>
        </w:rPr>
        <w:t>settlement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60"/>
        <w:ind w:left="99" w:right="247"/>
      </w:pPr>
      <w:r>
        <w:rPr>
          <w:color w:val="6E6158"/>
        </w:rPr>
        <w:t>litigation. His experience as a business owner and litigant gives him a firsthand understanding of</w:t>
      </w:r>
      <w:r>
        <w:rPr>
          <w:color w:val="6E6158"/>
          <w:spacing w:val="40"/>
        </w:rPr>
        <w:t> </w:t>
      </w:r>
      <w:r>
        <w:rPr>
          <w:color w:val="6E6158"/>
        </w:rPr>
        <w:t>the financial costs, operational disruption and uncertainty that protracted litigation can </w:t>
      </w:r>
      <w:r>
        <w:rPr>
          <w:color w:val="6E6158"/>
        </w:rPr>
        <w:t>create.</w:t>
      </w:r>
      <w:r>
        <w:rPr>
          <w:color w:val="6E6158"/>
          <w:spacing w:val="40"/>
        </w:rPr>
        <w:t> </w:t>
      </w:r>
      <w:r>
        <w:rPr>
          <w:color w:val="6E6158"/>
        </w:rPr>
        <w:t>He uses that perspective to help clients assess risk, pursue efficient resolutions and protect their</w:t>
      </w:r>
      <w:r>
        <w:rPr>
          <w:color w:val="6E6158"/>
          <w:spacing w:val="40"/>
        </w:rPr>
        <w:t> </w:t>
      </w:r>
      <w:r>
        <w:rPr>
          <w:color w:val="6E6158"/>
        </w:rPr>
        <w:t>business interests when litigation is necessary.</w:t>
      </w:r>
    </w:p>
    <w:p>
      <w:pPr>
        <w:pStyle w:val="BodyText"/>
        <w:spacing w:line="295" w:lineRule="auto" w:before="206"/>
        <w:ind w:left="99" w:right="15"/>
      </w:pPr>
      <w:r>
        <w:rPr>
          <w:color w:val="6E6158"/>
        </w:rPr>
        <w:t>Before joining Fennemore, Patrick served as an attorney and shareholder at Keery McCue, PLLC,</w:t>
      </w:r>
      <w:r>
        <w:rPr>
          <w:color w:val="6E6158"/>
          <w:spacing w:val="40"/>
        </w:rPr>
        <w:t> </w:t>
      </w:r>
      <w:r>
        <w:rPr>
          <w:color w:val="6E6158"/>
        </w:rPr>
        <w:t>where he represented clients in business, bankruptcy and litigation matters. His prior business</w:t>
      </w:r>
      <w:r>
        <w:rPr>
          <w:color w:val="6E6158"/>
          <w:spacing w:val="40"/>
        </w:rPr>
        <w:t> </w:t>
      </w:r>
      <w:r>
        <w:rPr>
          <w:color w:val="6E6158"/>
        </w:rPr>
        <w:t>experience includes leadership roles in construction management, automotive products, </w:t>
      </w:r>
      <w:r>
        <w:rPr>
          <w:color w:val="6E6158"/>
        </w:rPr>
        <w:t>vehicle</w:t>
      </w:r>
      <w:r>
        <w:rPr>
          <w:color w:val="6E6158"/>
          <w:spacing w:val="40"/>
        </w:rPr>
        <w:t> </w:t>
      </w:r>
      <w:r>
        <w:rPr>
          <w:color w:val="6E6158"/>
        </w:rPr>
        <w:t>sales and motorcycle manufacturing. Patrick earned his J.D., magna cum laude, from Phoenix</w:t>
      </w:r>
      <w:r>
        <w:rPr>
          <w:color w:val="6E6158"/>
          <w:spacing w:val="40"/>
        </w:rPr>
        <w:t> </w:t>
      </w:r>
      <w:r>
        <w:rPr>
          <w:color w:val="6E6158"/>
        </w:rPr>
        <w:t>School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Law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B.S.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finance</w:t>
      </w:r>
      <w:r>
        <w:rPr>
          <w:color w:val="6E6158"/>
          <w:spacing w:val="23"/>
        </w:rPr>
        <w:t> </w:t>
      </w:r>
      <w:r>
        <w:rPr>
          <w:color w:val="6E6158"/>
        </w:rPr>
        <w:t>from</w:t>
      </w:r>
      <w:r>
        <w:rPr>
          <w:color w:val="6E6158"/>
          <w:spacing w:val="23"/>
        </w:rPr>
        <w:t> </w:t>
      </w:r>
      <w:r>
        <w:rPr>
          <w:color w:val="6E6158"/>
        </w:rPr>
        <w:t>Arizona</w:t>
      </w:r>
      <w:r>
        <w:rPr>
          <w:color w:val="6E6158"/>
          <w:spacing w:val="23"/>
        </w:rPr>
        <w:t> </w:t>
      </w:r>
      <w:r>
        <w:rPr>
          <w:color w:val="6E6158"/>
        </w:rPr>
        <w:t>State</w:t>
      </w:r>
      <w:r>
        <w:rPr>
          <w:color w:val="6E6158"/>
          <w:spacing w:val="23"/>
        </w:rPr>
        <w:t> </w:t>
      </w:r>
      <w:r>
        <w:rPr>
          <w:color w:val="6E6158"/>
        </w:rPr>
        <w:t>University.</w:t>
      </w:r>
      <w:r>
        <w:rPr>
          <w:color w:val="6E6158"/>
          <w:spacing w:val="23"/>
        </w:rPr>
        <w:t> </w:t>
      </w:r>
      <w:r>
        <w:rPr>
          <w:color w:val="6E6158"/>
        </w:rPr>
        <w:t>He</w:t>
      </w:r>
      <w:r>
        <w:rPr>
          <w:color w:val="6E6158"/>
          <w:spacing w:val="23"/>
        </w:rPr>
        <w:t> </w:t>
      </w:r>
      <w:r>
        <w:rPr>
          <w:color w:val="6E6158"/>
        </w:rPr>
        <w:t>graduated</w:t>
      </w:r>
      <w:r>
        <w:rPr>
          <w:color w:val="6E6158"/>
          <w:spacing w:val="23"/>
        </w:rPr>
        <w:t> </w:t>
      </w:r>
      <w:r>
        <w:rPr>
          <w:color w:val="6E6158"/>
        </w:rPr>
        <w:t>sixth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class of</w:t>
      </w:r>
      <w:r>
        <w:rPr>
          <w:color w:val="6E6158"/>
          <w:spacing w:val="24"/>
        </w:rPr>
        <w:t> </w:t>
      </w:r>
      <w:r>
        <w:rPr>
          <w:color w:val="6E6158"/>
        </w:rPr>
        <w:t>171</w:t>
      </w:r>
      <w:r>
        <w:rPr>
          <w:color w:val="6E6158"/>
          <w:spacing w:val="24"/>
        </w:rPr>
        <w:t> </w:t>
      </w:r>
      <w:r>
        <w:rPr>
          <w:color w:val="6E6158"/>
        </w:rPr>
        <w:t>J.D.</w:t>
      </w:r>
      <w:r>
        <w:rPr>
          <w:color w:val="6E6158"/>
          <w:spacing w:val="24"/>
        </w:rPr>
        <w:t> </w:t>
      </w:r>
      <w:r>
        <w:rPr>
          <w:color w:val="6E6158"/>
        </w:rPr>
        <w:t>candidates,</w:t>
      </w:r>
      <w:r>
        <w:rPr>
          <w:color w:val="6E6158"/>
          <w:spacing w:val="24"/>
        </w:rPr>
        <w:t> </w:t>
      </w:r>
      <w:r>
        <w:rPr>
          <w:color w:val="6E6158"/>
        </w:rPr>
        <w:t>served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staff</w:t>
      </w:r>
      <w:r>
        <w:rPr>
          <w:color w:val="6E6158"/>
          <w:spacing w:val="24"/>
        </w:rPr>
        <w:t> </w:t>
      </w:r>
      <w:r>
        <w:rPr>
          <w:color w:val="6E6158"/>
        </w:rPr>
        <w:t>editor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Phoenix</w:t>
      </w:r>
      <w:r>
        <w:rPr>
          <w:color w:val="6E6158"/>
          <w:spacing w:val="24"/>
        </w:rPr>
        <w:t> </w:t>
      </w:r>
      <w:r>
        <w:rPr>
          <w:color w:val="6E6158"/>
        </w:rPr>
        <w:t>Law</w:t>
      </w:r>
      <w:r>
        <w:rPr>
          <w:color w:val="6E6158"/>
          <w:spacing w:val="24"/>
        </w:rPr>
        <w:t> </w:t>
      </w:r>
      <w:r>
        <w:rPr>
          <w:color w:val="6E6158"/>
        </w:rPr>
        <w:t>Review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received</w:t>
      </w:r>
      <w:r>
        <w:rPr>
          <w:color w:val="6E6158"/>
          <w:spacing w:val="24"/>
        </w:rPr>
        <w:t> </w:t>
      </w:r>
      <w:r>
        <w:rPr>
          <w:color w:val="6E6158"/>
        </w:rPr>
        <w:t>the Order of the Quill and multiple CALI Awards.</w:t>
      </w:r>
    </w:p>
    <w:p>
      <w:pPr>
        <w:pStyle w:val="Heading1"/>
        <w:spacing w:before="166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408" w:lineRule="auto"/>
        <w:ind w:left="99" w:right="4014"/>
      </w:pPr>
      <w:r>
        <w:rPr>
          <w:color w:val="6E6158"/>
        </w:rPr>
        <w:t>J.D., Phoenix School of Law,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color w:val="6E6158"/>
        </w:rPr>
        <w:t>, </w:t>
      </w:r>
      <w:r>
        <w:rPr>
          <w:color w:val="6E6158"/>
        </w:rPr>
        <w:t>2013</w:t>
      </w:r>
      <w:r>
        <w:rPr>
          <w:color w:val="6E6158"/>
        </w:rPr>
        <w:t> B.S., Finance, Arizona State University, 1992</w:t>
      </w:r>
    </w:p>
    <w:p>
      <w:pPr>
        <w:pStyle w:val="BodyText"/>
        <w:spacing w:before="11"/>
        <w:ind w:left="99"/>
      </w:pPr>
      <w:r>
        <w:rPr>
          <w:color w:val="6E6158"/>
        </w:rPr>
        <w:t>Brophy</w:t>
      </w:r>
      <w:r>
        <w:rPr>
          <w:color w:val="6E6158"/>
          <w:spacing w:val="20"/>
        </w:rPr>
        <w:t> </w:t>
      </w:r>
      <w:r>
        <w:rPr>
          <w:color w:val="6E6158"/>
        </w:rPr>
        <w:t>College</w:t>
      </w:r>
      <w:r>
        <w:rPr>
          <w:color w:val="6E6158"/>
          <w:spacing w:val="20"/>
        </w:rPr>
        <w:t> </w:t>
      </w:r>
      <w:r>
        <w:rPr>
          <w:color w:val="6E6158"/>
        </w:rPr>
        <w:t>Preparatory,</w:t>
      </w:r>
      <w:r>
        <w:rPr>
          <w:color w:val="6E6158"/>
          <w:spacing w:val="20"/>
        </w:rPr>
        <w:t> </w:t>
      </w:r>
      <w:r>
        <w:rPr>
          <w:color w:val="6E6158"/>
        </w:rPr>
        <w:t>1984-</w:t>
      </w:r>
      <w:r>
        <w:rPr>
          <w:color w:val="6E6158"/>
          <w:spacing w:val="-4"/>
        </w:rPr>
        <w:t>1987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aircraft</w:t>
      </w:r>
      <w:r>
        <w:rPr>
          <w:color w:val="6E6158"/>
          <w:spacing w:val="14"/>
        </w:rPr>
        <w:t> </w:t>
      </w:r>
      <w:r>
        <w:rPr>
          <w:color w:val="6E6158"/>
        </w:rPr>
        <w:t>painting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successful</w:t>
      </w:r>
      <w:r>
        <w:rPr>
          <w:color w:val="6E6158"/>
          <w:spacing w:val="14"/>
        </w:rPr>
        <w:t> </w:t>
      </w:r>
      <w:r>
        <w:rPr>
          <w:color w:val="6E6158"/>
        </w:rPr>
        <w:t>Ch.</w:t>
      </w:r>
      <w:r>
        <w:rPr>
          <w:color w:val="6E6158"/>
          <w:spacing w:val="14"/>
        </w:rPr>
        <w:t> </w:t>
      </w:r>
      <w:r>
        <w:rPr>
          <w:color w:val="6E6158"/>
        </w:rPr>
        <w:t>11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proceeding</w:t>
      </w:r>
    </w:p>
    <w:p>
      <w:pPr>
        <w:pStyle w:val="BodyText"/>
        <w:spacing w:line="302" w:lineRule="auto" w:before="174"/>
        <w:ind w:left="99" w:right="86"/>
      </w:pPr>
      <w:r>
        <w:rPr>
          <w:color w:val="6E6158"/>
        </w:rPr>
        <w:t>Represented large chain of fast serve restaurant in Ch. 11 bankruptcy including Section 363 Sale</w:t>
      </w:r>
      <w:r>
        <w:rPr>
          <w:color w:val="6E6158"/>
          <w:spacing w:val="40"/>
        </w:rPr>
        <w:t> </w:t>
      </w:r>
      <w:r>
        <w:rPr>
          <w:color w:val="6E6158"/>
        </w:rPr>
        <w:t>and confirmation of Plan of Liquidation</w:t>
      </w:r>
    </w:p>
    <w:p>
      <w:pPr>
        <w:pStyle w:val="BodyText"/>
        <w:spacing w:line="292" w:lineRule="auto" w:before="113"/>
        <w:ind w:left="99" w:right="86"/>
      </w:pPr>
      <w:r>
        <w:rPr>
          <w:color w:val="6E6158"/>
        </w:rPr>
        <w:t>Represented numerous SARE debtors in navigating through the Ch. 11 reorganization </w:t>
      </w:r>
      <w:r>
        <w:rPr>
          <w:color w:val="6E6158"/>
        </w:rPr>
        <w:t>process,</w:t>
      </w:r>
      <w:r>
        <w:rPr>
          <w:color w:val="6E6158"/>
          <w:spacing w:val="40"/>
        </w:rPr>
        <w:t> </w:t>
      </w:r>
      <w:r>
        <w:rPr>
          <w:color w:val="6E6158"/>
        </w:rPr>
        <w:t>including conducting complex Section 363 sales</w:t>
      </w:r>
    </w:p>
    <w:p>
      <w:pPr>
        <w:pStyle w:val="BodyText"/>
        <w:spacing w:line="302" w:lineRule="auto" w:before="123"/>
        <w:ind w:left="99" w:right="247"/>
      </w:pPr>
      <w:r>
        <w:rPr>
          <w:color w:val="6E6158"/>
        </w:rPr>
        <w:t>Represented numerous small business debtors (and their principals) in jointly </w:t>
      </w:r>
      <w:r>
        <w:rPr>
          <w:color w:val="6E6158"/>
        </w:rPr>
        <w:t>administered Subchapter V Cases</w:t>
      </w:r>
    </w:p>
    <w:p>
      <w:pPr>
        <w:pStyle w:val="BodyText"/>
        <w:spacing w:line="292" w:lineRule="auto" w:before="113"/>
        <w:ind w:left="99" w:right="1047"/>
      </w:pPr>
      <w:r>
        <w:rPr>
          <w:color w:val="6E6158"/>
        </w:rPr>
        <w:t>Represented</w:t>
      </w:r>
      <w:r>
        <w:rPr>
          <w:color w:val="6E6158"/>
          <w:spacing w:val="18"/>
        </w:rPr>
        <w:t> </w:t>
      </w:r>
      <w:r>
        <w:rPr>
          <w:color w:val="6E6158"/>
        </w:rPr>
        <w:t>numerous</w:t>
      </w:r>
      <w:r>
        <w:rPr>
          <w:color w:val="6E6158"/>
          <w:spacing w:val="18"/>
        </w:rPr>
        <w:t> </w:t>
      </w:r>
      <w:r>
        <w:rPr>
          <w:color w:val="6E6158"/>
        </w:rPr>
        <w:t>consumer</w:t>
      </w:r>
      <w:r>
        <w:rPr>
          <w:color w:val="6E6158"/>
          <w:spacing w:val="18"/>
        </w:rPr>
        <w:t> </w:t>
      </w:r>
      <w:r>
        <w:rPr>
          <w:color w:val="6E6158"/>
        </w:rPr>
        <w:t>debtors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complex</w:t>
      </w:r>
      <w:r>
        <w:rPr>
          <w:color w:val="6E6158"/>
          <w:spacing w:val="18"/>
        </w:rPr>
        <w:t> </w:t>
      </w:r>
      <w:r>
        <w:rPr>
          <w:color w:val="6E6158"/>
        </w:rPr>
        <w:t>Ch</w:t>
      </w:r>
      <w:r>
        <w:rPr>
          <w:color w:val="6E6158"/>
          <w:spacing w:val="18"/>
        </w:rPr>
        <w:t> </w:t>
      </w:r>
      <w:r>
        <w:rPr>
          <w:color w:val="6E6158"/>
        </w:rPr>
        <w:t>7</w:t>
      </w:r>
      <w:r>
        <w:rPr>
          <w:color w:val="6E6158"/>
          <w:spacing w:val="18"/>
        </w:rPr>
        <w:t> </w:t>
      </w:r>
      <w:r>
        <w:rPr>
          <w:color w:val="6E6158"/>
        </w:rPr>
        <w:t>proceedings</w:t>
      </w:r>
      <w:r>
        <w:rPr>
          <w:color w:val="6E6158"/>
          <w:spacing w:val="18"/>
        </w:rPr>
        <w:t> </w:t>
      </w:r>
      <w:r>
        <w:rPr>
          <w:color w:val="6E6158"/>
        </w:rPr>
        <w:t>including</w:t>
      </w:r>
      <w:r>
        <w:rPr>
          <w:color w:val="6E6158"/>
          <w:spacing w:val="18"/>
        </w:rPr>
        <w:t> </w:t>
      </w:r>
      <w:r>
        <w:rPr>
          <w:color w:val="6E6158"/>
        </w:rPr>
        <w:t>non-dischargeability litigation related thereto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 w:before="1"/>
        <w:ind w:left="99" w:right="4719"/>
      </w:pPr>
      <w:r>
        <w:rPr>
          <w:color w:val="6E6158"/>
        </w:rPr>
        <w:t>Bankruptcy, Creditors’ Rights &amp; </w:t>
      </w:r>
      <w:r>
        <w:rPr>
          <w:color w:val="6E6158"/>
        </w:rPr>
        <w:t>Insolvency Business Litigation</w:t>
      </w:r>
    </w:p>
    <w:p>
      <w:pPr>
        <w:pStyle w:val="BodyText"/>
        <w:spacing w:line="420" w:lineRule="auto"/>
        <w:ind w:left="99" w:right="6833"/>
      </w:pPr>
      <w:r>
        <w:rPr>
          <w:color w:val="6E6158"/>
        </w:rPr>
        <w:t>Business &amp; Finance Mergers &amp; </w:t>
      </w:r>
      <w:r>
        <w:rPr>
          <w:color w:val="6E6158"/>
        </w:rPr>
        <w:t>Acquisitions</w:t>
      </w:r>
    </w:p>
    <w:p>
      <w:pPr>
        <w:pStyle w:val="Heading1"/>
        <w:spacing w:before="288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Bankruptcy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2019-</w:t>
      </w:r>
      <w:r>
        <w:rPr>
          <w:color w:val="6E6158"/>
          <w:spacing w:val="-4"/>
          <w:sz w:val="19"/>
        </w:rPr>
        <w:t>2024</w:t>
      </w:r>
    </w:p>
    <w:p>
      <w:pPr>
        <w:pStyle w:val="BodyText"/>
        <w:spacing w:line="408" w:lineRule="auto" w:before="165"/>
        <w:ind w:left="99" w:right="2562"/>
      </w:pPr>
      <w:r>
        <w:rPr>
          <w:i/>
          <w:color w:val="6E6158"/>
          <w:sz w:val="20"/>
        </w:rPr>
        <w:t>Phoenix Magazine 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Best of Phoenix, Bankruptcy, 2022 – 2025 President’s Award, State Bar of Arizona, President’s Award – 2026</w:t>
      </w:r>
    </w:p>
    <w:p>
      <w:pPr>
        <w:pStyle w:val="BodyText"/>
        <w:spacing w:line="292" w:lineRule="auto" w:before="19"/>
        <w:ind w:left="99" w:right="144"/>
      </w:pPr>
      <w:r>
        <w:rPr>
          <w:color w:val="6E6158"/>
        </w:rPr>
        <w:t>CALI</w:t>
      </w:r>
      <w:r>
        <w:rPr>
          <w:color w:val="6E6158"/>
          <w:spacing w:val="11"/>
        </w:rPr>
        <w:t> </w:t>
      </w:r>
      <w:r>
        <w:rPr>
          <w:color w:val="6E6158"/>
        </w:rPr>
        <w:t>Awards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</w:rPr>
        <w:t>Cali</w:t>
      </w:r>
      <w:r>
        <w:rPr>
          <w:color w:val="6E6158"/>
          <w:spacing w:val="11"/>
        </w:rPr>
        <w:t> </w:t>
      </w:r>
      <w:r>
        <w:rPr>
          <w:color w:val="6E6158"/>
        </w:rPr>
        <w:t>Excellence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Future</w:t>
      </w:r>
      <w:r>
        <w:rPr>
          <w:color w:val="6E6158"/>
          <w:spacing w:val="11"/>
        </w:rPr>
        <w:t> </w:t>
      </w:r>
      <w:r>
        <w:rPr>
          <w:color w:val="6E6158"/>
        </w:rPr>
        <w:t>Awards,</w:t>
      </w:r>
      <w:r>
        <w:rPr>
          <w:color w:val="6E6158"/>
          <w:spacing w:val="11"/>
        </w:rPr>
        <w:t> </w:t>
      </w:r>
      <w:r>
        <w:rPr>
          <w:color w:val="6E6158"/>
        </w:rPr>
        <w:t>Torts</w:t>
      </w:r>
      <w:r>
        <w:rPr>
          <w:color w:val="6E6158"/>
          <w:spacing w:val="11"/>
        </w:rPr>
        <w:t> </w:t>
      </w:r>
      <w:r>
        <w:rPr>
          <w:color w:val="6E6158"/>
        </w:rPr>
        <w:t>II,</w:t>
      </w:r>
      <w:r>
        <w:rPr>
          <w:color w:val="6E6158"/>
          <w:spacing w:val="11"/>
        </w:rPr>
        <w:t> </w:t>
      </w:r>
      <w:r>
        <w:rPr>
          <w:color w:val="6E6158"/>
        </w:rPr>
        <w:t>Bankruptcy,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Transactions – Finance, Family Law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4014"/>
      </w:pPr>
      <w:r>
        <w:rPr>
          <w:color w:val="6E6158"/>
        </w:rPr>
        <w:t>Member – Arizona Bankruptcy Inn of Court 2018-</w:t>
      </w:r>
      <w:r>
        <w:rPr>
          <w:color w:val="6E6158"/>
        </w:rPr>
        <w:t>2026 Staff Editor, Phoenix Law Review, 2011-2012</w:t>
      </w:r>
    </w:p>
    <w:p>
      <w:pPr>
        <w:pStyle w:val="BodyText"/>
        <w:spacing w:before="6"/>
        <w:ind w:left="99"/>
      </w:pPr>
      <w:r>
        <w:rPr>
          <w:color w:val="6E6158"/>
        </w:rPr>
        <w:t>Phoenix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10"/>
        </w:rPr>
        <w:t> </w:t>
      </w:r>
      <w:r>
        <w:rPr>
          <w:color w:val="6E6158"/>
        </w:rPr>
        <w:t>Order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Quill,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2013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pkeer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F. Keery - Fennemore</dc:title>
  <dcterms:created xsi:type="dcterms:W3CDTF">2026-09-02T12:51:17Z</dcterms:created>
  <dcterms:modified xsi:type="dcterms:W3CDTF">2026-09-02T12:51:17Z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2026-09-02T00:00:00Z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2026-09-02T00:00:00Z</vt:filetime>
  </property>
  <property fmtid="{D5CDD505-2E9C-101B-9397-08002B2CF9AE}" pid="6" name="Producer">
    <vt:lpwstr>Skia/PDF m151</vt:lpwstr>
  </property>
</Properties>
</file>