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Rick Stacey bio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803129" y="1369338"/>
                            <a:ext cx="149860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0" h="320675">
                                <a:moveTo>
                                  <a:pt x="1498523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498523" y="320382"/>
                                </a:lnTo>
                                <a:lnTo>
                                  <a:pt x="1498523" y="315214"/>
                                </a:lnTo>
                                <a:close/>
                              </a:path>
                              <a:path w="1498600" h="320675">
                                <a:moveTo>
                                  <a:pt x="14985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498523" y="5168"/>
                                </a:lnTo>
                                <a:lnTo>
                                  <a:pt x="1498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RICK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STACEY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Construction</w:t>
                                </w:r>
                                <w:r>
                                  <w:rPr>
                                    <w:color w:val="FFFFFF"/>
                                    <w:spacing w:val="9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sz w:val="16"/>
                                  </w:rPr>
                                  <w:t>Law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Boise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208.738.9463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rstacey@fennemorelaw.com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Rick Stacey bio.png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989;top:2156;width:2360;height:505" id="docshape5" coordorigin="5989,2156" coordsize="2360,505" path="m8349,2653l5989,2653,5989,2661,8349,2661,8349,2653xm8349,2156l5989,2156,5989,2165,8349,2165,8349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RICK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STACEY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Construction</w:t>
                          </w:r>
                          <w:r>
                            <w:rPr>
                              <w:color w:val="FFFFFF"/>
                              <w:spacing w:val="9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Law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Boise</w:t>
                          </w:r>
                        </w:hyperlink>
                      </w:p>
                      <w:p>
                        <w:pPr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208.738.9463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rstacey@fennemorelaw.com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RICK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STACEY</w:t>
      </w:r>
    </w:p>
    <w:p>
      <w:pPr>
        <w:pStyle w:val="BodyText"/>
        <w:spacing w:line="295" w:lineRule="auto" w:before="147"/>
        <w:ind w:right="722"/>
      </w:pPr>
      <w:r>
        <w:rPr>
          <w:color w:val="6E6158"/>
        </w:rPr>
        <w:t>Rick L. Stacey is a trial lawyer whose practice focuses on construction and real estate matters.</w:t>
      </w:r>
      <w:r>
        <w:rPr>
          <w:color w:val="6E6158"/>
          <w:spacing w:val="40"/>
        </w:rPr>
        <w:t> </w:t>
      </w:r>
      <w:r>
        <w:rPr>
          <w:color w:val="6E6158"/>
        </w:rPr>
        <w:t>Rick has obtained damage awards in bench trials, jury trials, and arbitrations on behalf of his</w:t>
      </w:r>
      <w:r>
        <w:rPr>
          <w:color w:val="6E6158"/>
          <w:spacing w:val="40"/>
        </w:rPr>
        <w:t> </w:t>
      </w:r>
      <w:r>
        <w:rPr>
          <w:color w:val="6E6158"/>
        </w:rPr>
        <w:t>clients totaling more than $45 million. He regularly advises clients on private and public works</w:t>
      </w:r>
      <w:r>
        <w:rPr>
          <w:color w:val="6E6158"/>
          <w:spacing w:val="40"/>
        </w:rPr>
        <w:t> </w:t>
      </w:r>
      <w:r>
        <w:rPr>
          <w:color w:val="6E6158"/>
        </w:rPr>
        <w:t>construction</w:t>
      </w:r>
      <w:r>
        <w:rPr>
          <w:color w:val="6E6158"/>
          <w:spacing w:val="40"/>
        </w:rPr>
        <w:t> </w:t>
      </w:r>
      <w:r>
        <w:rPr>
          <w:color w:val="6E6158"/>
        </w:rPr>
        <w:t>projects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general</w:t>
      </w:r>
      <w:r>
        <w:rPr>
          <w:color w:val="6E6158"/>
          <w:spacing w:val="40"/>
        </w:rPr>
        <w:t> </w:t>
      </w:r>
      <w:r>
        <w:rPr>
          <w:color w:val="6E6158"/>
        </w:rPr>
        <w:t>contractors,</w:t>
      </w:r>
      <w:r>
        <w:rPr>
          <w:color w:val="6E6158"/>
          <w:spacing w:val="40"/>
        </w:rPr>
        <w:t> </w:t>
      </w:r>
      <w:r>
        <w:rPr>
          <w:color w:val="6E6158"/>
        </w:rPr>
        <w:t>construction</w:t>
      </w:r>
      <w:r>
        <w:rPr>
          <w:color w:val="6E6158"/>
          <w:spacing w:val="40"/>
        </w:rPr>
        <w:t> </w:t>
      </w:r>
      <w:r>
        <w:rPr>
          <w:color w:val="6E6158"/>
        </w:rPr>
        <w:t>managers,</w:t>
      </w:r>
      <w:r>
        <w:rPr>
          <w:color w:val="6E6158"/>
          <w:spacing w:val="40"/>
        </w:rPr>
        <w:t> </w:t>
      </w:r>
      <w:r>
        <w:rPr>
          <w:color w:val="6E6158"/>
        </w:rPr>
        <w:t>subcontractors,</w:t>
      </w:r>
    </w:p>
    <w:p>
      <w:pPr>
        <w:pStyle w:val="BodyText"/>
        <w:spacing w:before="9"/>
      </w:pPr>
      <w:r>
        <w:rPr>
          <w:color w:val="6E6158"/>
        </w:rPr>
        <w:t>suppliers,</w:t>
      </w:r>
      <w:r>
        <w:rPr>
          <w:color w:val="6E6158"/>
          <w:spacing w:val="13"/>
        </w:rPr>
        <w:t> </w:t>
      </w:r>
      <w:r>
        <w:rPr>
          <w:color w:val="6E6158"/>
        </w:rPr>
        <w:t>sureties,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project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owners.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653"/>
      </w:pPr>
      <w:r>
        <w:rPr>
          <w:color w:val="6E6158"/>
        </w:rPr>
        <w:t>Rick has also served as a construction law expert and testified as such in a court case in Beijing,</w:t>
      </w:r>
      <w:r>
        <w:rPr>
          <w:color w:val="6E6158"/>
          <w:spacing w:val="40"/>
        </w:rPr>
        <w:t> </w:t>
      </w:r>
      <w:r>
        <w:rPr>
          <w:color w:val="6E6158"/>
        </w:rPr>
        <w:t>China</w:t>
      </w:r>
      <w:r>
        <w:rPr>
          <w:color w:val="6E6158"/>
          <w:spacing w:val="37"/>
        </w:rPr>
        <w:t> </w:t>
      </w:r>
      <w:r>
        <w:rPr>
          <w:color w:val="6E6158"/>
        </w:rPr>
        <w:t>concerning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interpretation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administration</w:t>
      </w:r>
      <w:r>
        <w:rPr>
          <w:color w:val="6E6158"/>
          <w:spacing w:val="37"/>
        </w:rPr>
        <w:t> </w:t>
      </w:r>
      <w:r>
        <w:rPr>
          <w:color w:val="6E6158"/>
        </w:rPr>
        <w:t>of</w:t>
      </w:r>
      <w:r>
        <w:rPr>
          <w:color w:val="6E6158"/>
          <w:spacing w:val="37"/>
        </w:rPr>
        <w:t> </w:t>
      </w:r>
      <w:r>
        <w:rPr>
          <w:color w:val="6E6158"/>
        </w:rPr>
        <w:t>cost-plus</w:t>
      </w:r>
      <w:r>
        <w:rPr>
          <w:color w:val="6E6158"/>
          <w:spacing w:val="37"/>
        </w:rPr>
        <w:t> </w:t>
      </w:r>
      <w:r>
        <w:rPr>
          <w:color w:val="6E6158"/>
        </w:rPr>
        <w:t>construction</w:t>
      </w:r>
      <w:r>
        <w:rPr>
          <w:color w:val="6E6158"/>
          <w:spacing w:val="37"/>
        </w:rPr>
        <w:t> </w:t>
      </w:r>
      <w:r>
        <w:rPr>
          <w:color w:val="6E6158"/>
        </w:rPr>
        <w:t>agreements. He has drafted a litany of construction documents including EPC (engineering, procurement,</w:t>
      </w:r>
      <w:r>
        <w:rPr>
          <w:color w:val="6E6158"/>
          <w:spacing w:val="80"/>
        </w:rPr>
        <w:t> </w:t>
      </w:r>
      <w:r>
        <w:rPr>
          <w:color w:val="6E6158"/>
        </w:rPr>
        <w:t>and construction) and EPCM (engineering, procurement, and construction management)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agreements.</w:t>
      </w:r>
    </w:p>
    <w:p>
      <w:pPr>
        <w:pStyle w:val="BodyText"/>
        <w:spacing w:line="297" w:lineRule="auto" w:before="195"/>
        <w:ind w:right="722"/>
      </w:pPr>
      <w:r>
        <w:rPr>
          <w:color w:val="6E6158"/>
        </w:rPr>
        <w:t>Rick received his Bachelor of Arts degree, magna cum laude, from Boise State University where</w:t>
      </w:r>
      <w:r>
        <w:rPr>
          <w:color w:val="6E6158"/>
          <w:spacing w:val="40"/>
        </w:rPr>
        <w:t> </w:t>
      </w:r>
      <w:r>
        <w:rPr>
          <w:color w:val="6E6158"/>
        </w:rPr>
        <w:t>he was nominated as a Top 10 Scholar, and his Juris Doctorate with a certification in Environmental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Natural</w:t>
      </w:r>
      <w:r>
        <w:rPr>
          <w:color w:val="6E6158"/>
          <w:spacing w:val="29"/>
        </w:rPr>
        <w:t> </w:t>
      </w:r>
      <w:r>
        <w:rPr>
          <w:color w:val="6E6158"/>
        </w:rPr>
        <w:t>Resource</w:t>
      </w:r>
      <w:r>
        <w:rPr>
          <w:color w:val="6E6158"/>
          <w:spacing w:val="29"/>
        </w:rPr>
        <w:t> </w:t>
      </w:r>
      <w:r>
        <w:rPr>
          <w:color w:val="6E6158"/>
        </w:rPr>
        <w:t>Law</w:t>
      </w:r>
      <w:r>
        <w:rPr>
          <w:color w:val="6E6158"/>
          <w:spacing w:val="29"/>
        </w:rPr>
        <w:t> </w:t>
      </w:r>
      <w:r>
        <w:rPr>
          <w:color w:val="6E6158"/>
        </w:rPr>
        <w:t>from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University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Utah</w:t>
      </w:r>
      <w:r>
        <w:rPr>
          <w:color w:val="6E6158"/>
          <w:spacing w:val="29"/>
        </w:rPr>
        <w:t> </w:t>
      </w:r>
      <w:r>
        <w:rPr>
          <w:color w:val="6E6158"/>
        </w:rPr>
        <w:t>S.J.</w:t>
      </w:r>
      <w:r>
        <w:rPr>
          <w:color w:val="6E6158"/>
          <w:spacing w:val="29"/>
        </w:rPr>
        <w:t> </w:t>
      </w:r>
      <w:r>
        <w:rPr>
          <w:color w:val="6E6158"/>
        </w:rPr>
        <w:t>Quinney</w:t>
      </w:r>
      <w:r>
        <w:rPr>
          <w:color w:val="6E6158"/>
          <w:spacing w:val="29"/>
        </w:rPr>
        <w:t> </w:t>
      </w:r>
      <w:r>
        <w:rPr>
          <w:color w:val="6E6158"/>
        </w:rPr>
        <w:t>College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</w:p>
    <w:p>
      <w:pPr>
        <w:pStyle w:val="BodyText"/>
        <w:spacing w:line="229" w:lineRule="exact"/>
      </w:pPr>
      <w:r>
        <w:rPr>
          <w:color w:val="6E6158"/>
          <w:spacing w:val="-4"/>
        </w:rPr>
        <w:t>Law.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722"/>
      </w:pPr>
      <w:r>
        <w:rPr>
          <w:color w:val="6E6158"/>
        </w:rPr>
        <w:t>Rick</w:t>
      </w:r>
      <w:r>
        <w:rPr>
          <w:color w:val="6E6158"/>
          <w:spacing w:val="23"/>
        </w:rPr>
        <w:t> </w:t>
      </w:r>
      <w:r>
        <w:rPr>
          <w:color w:val="6E6158"/>
        </w:rPr>
        <w:t>has</w:t>
      </w:r>
      <w:r>
        <w:rPr>
          <w:color w:val="6E6158"/>
          <w:spacing w:val="23"/>
        </w:rPr>
        <w:t> </w:t>
      </w:r>
      <w:r>
        <w:rPr>
          <w:color w:val="6E6158"/>
        </w:rPr>
        <w:t>spent</w:t>
      </w:r>
      <w:r>
        <w:rPr>
          <w:color w:val="6E6158"/>
          <w:spacing w:val="23"/>
        </w:rPr>
        <w:t> </w:t>
      </w:r>
      <w:r>
        <w:rPr>
          <w:color w:val="6E6158"/>
        </w:rPr>
        <w:t>most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his</w:t>
      </w:r>
      <w:r>
        <w:rPr>
          <w:color w:val="6E6158"/>
          <w:spacing w:val="23"/>
        </w:rPr>
        <w:t> </w:t>
      </w:r>
      <w:r>
        <w:rPr>
          <w:color w:val="6E6158"/>
        </w:rPr>
        <w:t>life</w:t>
      </w:r>
      <w:r>
        <w:rPr>
          <w:color w:val="6E6158"/>
          <w:spacing w:val="23"/>
        </w:rPr>
        <w:t> </w:t>
      </w:r>
      <w:r>
        <w:rPr>
          <w:color w:val="6E6158"/>
        </w:rPr>
        <w:t>working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or</w:t>
      </w:r>
      <w:r>
        <w:rPr>
          <w:color w:val="6E6158"/>
          <w:spacing w:val="23"/>
        </w:rPr>
        <w:t> </w:t>
      </w:r>
      <w:r>
        <w:rPr>
          <w:color w:val="6E6158"/>
        </w:rPr>
        <w:t>around</w:t>
      </w:r>
      <w:r>
        <w:rPr>
          <w:color w:val="6E6158"/>
          <w:spacing w:val="23"/>
        </w:rPr>
        <w:t> </w:t>
      </w:r>
      <w:r>
        <w:rPr>
          <w:color w:val="6E6158"/>
        </w:rPr>
        <w:t>construction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paid</w:t>
      </w:r>
      <w:r>
        <w:rPr>
          <w:color w:val="6E6158"/>
          <w:spacing w:val="23"/>
        </w:rPr>
        <w:t> </w:t>
      </w:r>
      <w:r>
        <w:rPr>
          <w:color w:val="6E6158"/>
        </w:rPr>
        <w:t>his</w:t>
      </w:r>
      <w:r>
        <w:rPr>
          <w:color w:val="6E6158"/>
          <w:spacing w:val="23"/>
        </w:rPr>
        <w:t> </w:t>
      </w:r>
      <w:r>
        <w:rPr>
          <w:color w:val="6E6158"/>
        </w:rPr>
        <w:t>way</w:t>
      </w:r>
      <w:r>
        <w:rPr>
          <w:color w:val="6E6158"/>
          <w:spacing w:val="23"/>
        </w:rPr>
        <w:t> </w:t>
      </w:r>
      <w:r>
        <w:rPr>
          <w:color w:val="6E6158"/>
        </w:rPr>
        <w:t>through college working in the local construction industry. This project management experience gives</w:t>
      </w:r>
      <w:r>
        <w:rPr>
          <w:color w:val="6E6158"/>
          <w:spacing w:val="80"/>
        </w:rPr>
        <w:t> </w:t>
      </w:r>
      <w:r>
        <w:rPr>
          <w:color w:val="6E6158"/>
        </w:rPr>
        <w:t>him unique practical insight into the industry. Today, Rick maintains strong connections to his</w:t>
      </w:r>
      <w:r>
        <w:rPr>
          <w:color w:val="6E6158"/>
          <w:spacing w:val="40"/>
        </w:rPr>
        <w:t> </w:t>
      </w:r>
      <w:r>
        <w:rPr>
          <w:color w:val="6E6158"/>
        </w:rPr>
        <w:t>lifelong Boise home golfing, mountain biking, and fly fishing. Rick particularly loves playing golf</w:t>
      </w:r>
      <w:r>
        <w:rPr>
          <w:color w:val="6E6158"/>
          <w:spacing w:val="40"/>
        </w:rPr>
        <w:t> </w:t>
      </w:r>
      <w:r>
        <w:rPr>
          <w:color w:val="6E6158"/>
        </w:rPr>
        <w:t>with his wife Aleja and their two daughters at Hillcrest Country Club, where he has served on a</w:t>
      </w:r>
      <w:r>
        <w:rPr>
          <w:color w:val="6E6158"/>
          <w:spacing w:val="40"/>
        </w:rPr>
        <w:t> </w:t>
      </w:r>
      <w:r>
        <w:rPr>
          <w:color w:val="6E6158"/>
        </w:rPr>
        <w:t>variety of committees, the Board of Directors, the Board of Directors Executive Committee, and</w:t>
      </w:r>
      <w:r>
        <w:rPr>
          <w:color w:val="6E6158"/>
          <w:spacing w:val="40"/>
        </w:rPr>
        <w:t> </w:t>
      </w:r>
      <w:r>
        <w:rPr>
          <w:color w:val="6E6158"/>
        </w:rPr>
        <w:t>helped to mentor the junior girls’ golf program. Rick is also an avid supporter of all things</w:t>
      </w:r>
      <w:r>
        <w:rPr>
          <w:color w:val="6E6158"/>
          <w:spacing w:val="40"/>
        </w:rPr>
        <w:t> </w:t>
      </w:r>
      <w:r>
        <w:rPr>
          <w:color w:val="6E6158"/>
        </w:rPr>
        <w:t>associated with Boise State University. He currently serves as a board member on the BSU</w:t>
      </w:r>
      <w:r>
        <w:rPr>
          <w:color w:val="6E6158"/>
          <w:spacing w:val="40"/>
        </w:rPr>
        <w:t> </w:t>
      </w:r>
      <w:r>
        <w:rPr>
          <w:color w:val="6E6158"/>
        </w:rPr>
        <w:t>Foundation Board. He has also served on the BSU Alumni Association and acted as its legal</w:t>
      </w:r>
      <w:r>
        <w:rPr>
          <w:color w:val="6E6158"/>
          <w:spacing w:val="40"/>
        </w:rPr>
        <w:t> </w:t>
      </w:r>
      <w:r>
        <w:rPr>
          <w:color w:val="6E6158"/>
        </w:rPr>
        <w:t>counsel providing pro-bono legal representation. Rick served as President of the BSU Alumni</w:t>
      </w:r>
      <w:r>
        <w:rPr>
          <w:color w:val="6E6158"/>
          <w:spacing w:val="40"/>
        </w:rPr>
        <w:t> </w:t>
      </w:r>
      <w:r>
        <w:rPr>
          <w:color w:val="6E6158"/>
        </w:rPr>
        <w:t>Association (2019 – 2021) and on its Executive Committee (2012 – 2022).</w:t>
      </w:r>
    </w:p>
    <w:p>
      <w:pPr>
        <w:pStyle w:val="Heading1"/>
        <w:spacing w:before="167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93" w:lineRule="auto"/>
        <w:ind w:left="343" w:right="2889" w:hanging="245"/>
      </w:pPr>
      <w:r>
        <w:rPr>
          <w:color w:val="6E6158"/>
        </w:rPr>
        <w:t>J.D., The S.J. Quinney College of Law at The University of </w:t>
      </w:r>
      <w:r>
        <w:rPr>
          <w:color w:val="6E6158"/>
        </w:rPr>
        <w:t>Utah</w:t>
      </w:r>
      <w:r>
        <w:rPr>
          <w:color w:val="6E6158"/>
        </w:rPr>
        <w:t> Certification in Environmental and Natural Resource Law</w:t>
      </w:r>
    </w:p>
    <w:p>
      <w:pPr>
        <w:spacing w:before="23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Boise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State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University,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magna cum </w:t>
      </w:r>
      <w:r>
        <w:rPr>
          <w:i/>
          <w:color w:val="6E6158"/>
          <w:spacing w:val="-2"/>
          <w:sz w:val="20"/>
        </w:rPr>
        <w:t>laude</w:t>
      </w:r>
    </w:p>
    <w:p>
      <w:pPr>
        <w:spacing w:after="0"/>
        <w:jc w:val="left"/>
        <w:rPr>
          <w:i/>
          <w:sz w:val="20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  <w:ind w:left="343"/>
      </w:pPr>
      <w:r>
        <w:rPr>
          <w:color w:val="6E6158"/>
        </w:rPr>
        <w:t>Nominated</w:t>
      </w:r>
      <w:r>
        <w:rPr>
          <w:color w:val="6E6158"/>
          <w:spacing w:val="6"/>
        </w:rPr>
        <w:t> </w:t>
      </w:r>
      <w:r>
        <w:rPr>
          <w:color w:val="6E6158"/>
        </w:rPr>
        <w:t>as</w:t>
      </w:r>
      <w:r>
        <w:rPr>
          <w:color w:val="6E6158"/>
          <w:spacing w:val="7"/>
        </w:rPr>
        <w:t> </w:t>
      </w:r>
      <w:r>
        <w:rPr>
          <w:color w:val="6E6158"/>
        </w:rPr>
        <w:t>a</w:t>
      </w:r>
      <w:r>
        <w:rPr>
          <w:color w:val="6E6158"/>
          <w:spacing w:val="7"/>
        </w:rPr>
        <w:t> </w:t>
      </w:r>
      <w:r>
        <w:rPr>
          <w:color w:val="6E6158"/>
        </w:rPr>
        <w:t>Top</w:t>
      </w:r>
      <w:r>
        <w:rPr>
          <w:color w:val="6E6158"/>
          <w:spacing w:val="6"/>
        </w:rPr>
        <w:t> </w:t>
      </w:r>
      <w:r>
        <w:rPr>
          <w:color w:val="6E6158"/>
        </w:rPr>
        <w:t>10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Scholar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2" w:lineRule="auto"/>
        <w:ind w:right="7900"/>
      </w:pPr>
      <w:r>
        <w:rPr>
          <w:color w:val="6E6158"/>
        </w:rPr>
        <w:t>Construction </w:t>
      </w:r>
      <w:r>
        <w:rPr>
          <w:color w:val="6E6158"/>
        </w:rPr>
        <w:t>Law Real Estate Business Litigation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Super</w:t>
      </w:r>
      <w:r>
        <w:rPr>
          <w:color w:val="6E6158"/>
          <w:spacing w:val="15"/>
        </w:rPr>
        <w:t> </w:t>
      </w:r>
      <w:r>
        <w:rPr>
          <w:color w:val="6E6158"/>
        </w:rPr>
        <w:t>Lawyers,</w:t>
      </w:r>
      <w:r>
        <w:rPr>
          <w:color w:val="6E6158"/>
          <w:spacing w:val="16"/>
        </w:rPr>
        <w:t> </w:t>
      </w:r>
      <w:r>
        <w:rPr>
          <w:color w:val="6E6158"/>
        </w:rPr>
        <w:t>Mountain</w:t>
      </w:r>
      <w:r>
        <w:rPr>
          <w:color w:val="6E6158"/>
          <w:spacing w:val="16"/>
        </w:rPr>
        <w:t> </w:t>
      </w:r>
      <w:r>
        <w:rPr>
          <w:color w:val="6E6158"/>
        </w:rPr>
        <w:t>States,</w:t>
      </w:r>
      <w:r>
        <w:rPr>
          <w:color w:val="6E6158"/>
          <w:spacing w:val="16"/>
        </w:rPr>
        <w:t> </w:t>
      </w:r>
      <w:r>
        <w:rPr>
          <w:color w:val="6E6158"/>
        </w:rPr>
        <w:t>Construction</w:t>
      </w:r>
      <w:r>
        <w:rPr>
          <w:color w:val="6E6158"/>
          <w:spacing w:val="16"/>
        </w:rPr>
        <w:t> </w:t>
      </w:r>
      <w:r>
        <w:rPr>
          <w:color w:val="6E6158"/>
        </w:rPr>
        <w:t>Litigation,</w:t>
      </w:r>
      <w:r>
        <w:rPr>
          <w:color w:val="6E6158"/>
          <w:spacing w:val="16"/>
        </w:rPr>
        <w:t> </w:t>
      </w:r>
      <w:r>
        <w:rPr>
          <w:color w:val="6E6158"/>
        </w:rPr>
        <w:t>Real</w:t>
      </w:r>
      <w:r>
        <w:rPr>
          <w:color w:val="6E6158"/>
          <w:spacing w:val="16"/>
        </w:rPr>
        <w:t> </w:t>
      </w:r>
      <w:r>
        <w:rPr>
          <w:color w:val="6E6158"/>
        </w:rPr>
        <w:t>Estate</w:t>
      </w:r>
      <w:r>
        <w:rPr>
          <w:color w:val="6E6158"/>
          <w:spacing w:val="16"/>
        </w:rPr>
        <w:t> </w:t>
      </w:r>
      <w:r>
        <w:rPr>
          <w:color w:val="6E6158"/>
        </w:rPr>
        <w:t>Law,</w:t>
      </w:r>
      <w:r>
        <w:rPr>
          <w:color w:val="6E6158"/>
          <w:spacing w:val="16"/>
        </w:rPr>
        <w:t> </w:t>
      </w:r>
      <w:r>
        <w:rPr>
          <w:color w:val="6E6158"/>
        </w:rPr>
        <w:t>2018-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82"/>
        <w:ind w:right="722"/>
      </w:pPr>
      <w:r>
        <w:rPr>
          <w:color w:val="6E6158"/>
        </w:rPr>
        <w:t>Best Lawyers, Construction Law, Litigation – Construction, Litigation – Real Estate, </w:t>
      </w:r>
      <w:r>
        <w:rPr>
          <w:color w:val="6E6158"/>
        </w:rPr>
        <w:t>and Commercial Litigation, 2023-2026</w:t>
      </w:r>
    </w:p>
    <w:p>
      <w:pPr>
        <w:pStyle w:val="BodyText"/>
        <w:spacing w:line="420" w:lineRule="auto" w:before="123"/>
        <w:ind w:right="2593"/>
      </w:pPr>
      <w:r>
        <w:rPr>
          <w:color w:val="6E6158"/>
        </w:rPr>
        <w:t>Lawyers of Distinction – Recognizing Excellence in Real Estate </w:t>
      </w:r>
      <w:r>
        <w:rPr>
          <w:color w:val="6E6158"/>
        </w:rPr>
        <w:t>Law Martindale Hubbell “AV” Peer Review Rated Attorney</w:t>
      </w:r>
    </w:p>
    <w:p>
      <w:pPr>
        <w:pStyle w:val="BodyText"/>
        <w:spacing w:line="420" w:lineRule="auto" w:before="7"/>
        <w:ind w:right="2104"/>
      </w:pPr>
      <w:r>
        <w:rPr>
          <w:color w:val="6E6158"/>
        </w:rPr>
        <w:t>“10.0 Superb” Peer and Client Review Rated Construction Attorney, </w:t>
      </w:r>
      <w:r>
        <w:rPr>
          <w:color w:val="6E6158"/>
        </w:rPr>
        <w:t>Avvo.com Top 100 Trial Lawyer, National Trial Lawyers</w:t>
      </w:r>
    </w:p>
    <w:p>
      <w:pPr>
        <w:pStyle w:val="BodyText"/>
        <w:spacing w:line="420" w:lineRule="auto"/>
        <w:ind w:right="4459"/>
      </w:pPr>
      <w:r>
        <w:rPr>
          <w:color w:val="6E6158"/>
        </w:rPr>
        <w:t>Top Lawyer, Construction Lawyers Society of </w:t>
      </w:r>
      <w:r>
        <w:rPr>
          <w:color w:val="6E6158"/>
        </w:rPr>
        <w:t>America AV Rated Construction Attorney, ALM</w:t>
      </w:r>
    </w:p>
    <w:p>
      <w:pPr>
        <w:pStyle w:val="Heading1"/>
        <w:spacing w:before="288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722"/>
      </w:pPr>
      <w:r>
        <w:rPr>
          <w:color w:val="6E6158"/>
        </w:rPr>
        <w:t>Presenter, “Construction Liens and Payment Bond Claims in Idaho,” Associated </w:t>
      </w:r>
      <w:r>
        <w:rPr>
          <w:color w:val="6E6158"/>
        </w:rPr>
        <w:t>General Contractors, 2016</w:t>
      </w:r>
    </w:p>
    <w:p>
      <w:pPr>
        <w:pStyle w:val="BodyText"/>
        <w:spacing w:line="302" w:lineRule="auto" w:before="124"/>
        <w:ind w:right="722"/>
      </w:pPr>
      <w:r>
        <w:rPr>
          <w:color w:val="6E6158"/>
        </w:rPr>
        <w:t>Presenter, “EPC and EPCM Contracting,” Annual Meeting for the Idaho Society of </w:t>
      </w:r>
      <w:r>
        <w:rPr>
          <w:color w:val="6E6158"/>
        </w:rPr>
        <w:t>Professional Engineers, 2016</w:t>
      </w:r>
    </w:p>
    <w:p>
      <w:pPr>
        <w:pStyle w:val="BodyText"/>
        <w:spacing w:line="292" w:lineRule="auto" w:before="112"/>
        <w:ind w:right="200"/>
      </w:pPr>
      <w:r>
        <w:rPr>
          <w:color w:val="6E6158"/>
        </w:rPr>
        <w:t>Presenter, “What Every General Contractor Should Know About Commercial General </w:t>
      </w:r>
      <w:r>
        <w:rPr>
          <w:color w:val="6E6158"/>
        </w:rPr>
        <w:t>Liability Insurance Policies,” Association of General Contractors, 2015</w:t>
      </w:r>
    </w:p>
    <w:p>
      <w:pPr>
        <w:pStyle w:val="BodyText"/>
        <w:spacing w:line="427" w:lineRule="auto" w:before="124"/>
        <w:ind w:right="827"/>
      </w:pPr>
      <w:r>
        <w:rPr>
          <w:color w:val="6E6158"/>
        </w:rPr>
        <w:t>Presenter, “Mechanic’s Lien Laws in Idaho,” Associated Builders and Contractors, </w:t>
      </w:r>
      <w:r>
        <w:rPr>
          <w:color w:val="6E6158"/>
        </w:rPr>
        <w:t>2014 Presenter, “Mechanic’s Lien Laws in Idaho,” Association of General Contractors, 2013</w:t>
      </w:r>
    </w:p>
    <w:p>
      <w:pPr>
        <w:pStyle w:val="Heading1"/>
        <w:spacing w:before="276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4459"/>
      </w:pPr>
      <w:r>
        <w:rPr>
          <w:color w:val="6E6158"/>
        </w:rPr>
        <w:t>Member, Construction Lawyers Society of America Member, Idaho Association of Defense Counsel Member, Idaho State Bar Association, Litigation </w:t>
      </w:r>
      <w:r>
        <w:rPr>
          <w:color w:val="6E6158"/>
        </w:rPr>
        <w:t>Section Member, American Bar Association</w:t>
      </w:r>
    </w:p>
    <w:p>
      <w:pPr>
        <w:pStyle w:val="BodyText"/>
        <w:spacing w:line="229" w:lineRule="exact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Idaho</w:t>
      </w:r>
      <w:r>
        <w:rPr>
          <w:color w:val="6E6158"/>
          <w:spacing w:val="12"/>
        </w:rPr>
        <w:t> </w:t>
      </w:r>
      <w:r>
        <w:rPr>
          <w:color w:val="6E6158"/>
        </w:rPr>
        <w:t>Associated</w:t>
      </w:r>
      <w:r>
        <w:rPr>
          <w:color w:val="6E6158"/>
          <w:spacing w:val="11"/>
        </w:rPr>
        <w:t> </w:t>
      </w:r>
      <w:r>
        <w:rPr>
          <w:color w:val="6E6158"/>
        </w:rPr>
        <w:t>General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Contractors</w:t>
      </w:r>
    </w:p>
    <w:p>
      <w:pPr>
        <w:pStyle w:val="BodyText"/>
        <w:spacing w:line="427" w:lineRule="auto" w:before="174"/>
        <w:ind w:right="2593"/>
      </w:pPr>
      <w:r>
        <w:rPr>
          <w:color w:val="6E6158"/>
        </w:rPr>
        <w:t>Member, Associated Builders and Contractors, Inc., Inland Pacific </w:t>
      </w:r>
      <w:r>
        <w:rPr>
          <w:color w:val="6E6158"/>
        </w:rPr>
        <w:t>Chapter Board of Directors, BSU Alumni Association, 2012-2022</w:t>
      </w:r>
    </w:p>
    <w:p>
      <w:pPr>
        <w:pStyle w:val="BodyText"/>
        <w:spacing w:line="226" w:lineRule="exact"/>
      </w:pPr>
      <w:r>
        <w:rPr>
          <w:color w:val="6E6158"/>
        </w:rPr>
        <w:t>President,</w:t>
      </w:r>
      <w:r>
        <w:rPr>
          <w:color w:val="6E6158"/>
          <w:spacing w:val="17"/>
        </w:rPr>
        <w:t> </w:t>
      </w:r>
      <w:r>
        <w:rPr>
          <w:color w:val="6E6158"/>
        </w:rPr>
        <w:t>BSU</w:t>
      </w:r>
      <w:r>
        <w:rPr>
          <w:color w:val="6E6158"/>
          <w:spacing w:val="18"/>
        </w:rPr>
        <w:t> </w:t>
      </w:r>
      <w:r>
        <w:rPr>
          <w:color w:val="6E6158"/>
        </w:rPr>
        <w:t>Alumni</w:t>
      </w:r>
      <w:r>
        <w:rPr>
          <w:color w:val="6E6158"/>
          <w:spacing w:val="18"/>
        </w:rPr>
        <w:t> </w:t>
      </w:r>
      <w:r>
        <w:rPr>
          <w:color w:val="6E6158"/>
        </w:rPr>
        <w:t>Association,</w:t>
      </w:r>
      <w:r>
        <w:rPr>
          <w:color w:val="6E6158"/>
          <w:spacing w:val="18"/>
        </w:rPr>
        <w:t> </w:t>
      </w:r>
      <w:r>
        <w:rPr>
          <w:color w:val="6E6158"/>
        </w:rPr>
        <w:t>2019-</w:t>
      </w:r>
      <w:r>
        <w:rPr>
          <w:color w:val="6E6158"/>
          <w:spacing w:val="-4"/>
        </w:rPr>
        <w:t>2021</w:t>
      </w:r>
    </w:p>
    <w:p>
      <w:pPr>
        <w:pStyle w:val="BodyText"/>
        <w:spacing w:after="0" w:line="226" w:lineRule="exact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Board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Directors,</w:t>
      </w:r>
      <w:r>
        <w:rPr>
          <w:color w:val="6E6158"/>
          <w:spacing w:val="15"/>
        </w:rPr>
        <w:t> </w:t>
      </w:r>
      <w:r>
        <w:rPr>
          <w:color w:val="6E6158"/>
        </w:rPr>
        <w:t>BSU</w:t>
      </w:r>
      <w:r>
        <w:rPr>
          <w:color w:val="6E6158"/>
          <w:spacing w:val="14"/>
        </w:rPr>
        <w:t> </w:t>
      </w:r>
      <w:r>
        <w:rPr>
          <w:color w:val="6E6158"/>
        </w:rPr>
        <w:t>Foundation,</w:t>
      </w:r>
      <w:r>
        <w:rPr>
          <w:color w:val="6E6158"/>
          <w:spacing w:val="15"/>
        </w:rPr>
        <w:t> </w:t>
      </w:r>
      <w:r>
        <w:rPr>
          <w:color w:val="6E6158"/>
        </w:rPr>
        <w:t>2023-</w:t>
      </w:r>
      <w:r>
        <w:rPr>
          <w:color w:val="6E6158"/>
          <w:spacing w:val="-2"/>
        </w:rPr>
        <w:t>Present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Idaho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construction-law/" TargetMode="External"/><Relationship Id="rId9" Type="http://schemas.openxmlformats.org/officeDocument/2006/relationships/hyperlink" Target="https://www.fennemorelaw.com/contact-us/boise/" TargetMode="External"/><Relationship Id="rId10" Type="http://schemas.openxmlformats.org/officeDocument/2006/relationships/hyperlink" Target="mailto:rstacey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Rick Stacey - Fennemore</dc:title>
  <dcterms:created xsi:type="dcterms:W3CDTF">2026-09-01T12:28:54Z</dcterms:created>
  <dcterms:modified xsi:type="dcterms:W3CDTF">2026-09-01T12:28:54Z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2026-09-01T00:00:00Z</vt:filetime>
  </property>
  <property fmtid="{D5CDD505-2E9C-101B-9397-08002B2CF9AE}" pid="6" name="Producer">
    <vt:lpwstr>Skia/PDF m151</vt:lpwstr>
  </property>
</Properties>
</file>