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ind w:left="0"/>
        <w:rPr>
          <w:rFonts w:ascii="Times New Roman"/>
          <w:sz w:val="24"/>
        </w:rPr>
      </w:pPr>
    </w:p>
    <w:p>
      <w:pPr>
        <w:pStyle w:val="BodyText"/>
        <w:spacing w:before="116"/>
        <w:ind w:left="0"/>
        <w:rPr>
          <w:rFonts w:ascii="Times New Roman"/>
          <w:sz w:val="24"/>
        </w:rPr>
      </w:pPr>
    </w:p>
    <w:p>
      <w:pPr>
        <w:pStyle w:val="Heading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848486</wp:posOffset>
                </wp:positionH>
                <wp:positionV relativeFrom="paragraph">
                  <wp:posOffset>-3231247</wp:posOffset>
                </wp:positionV>
                <wp:extent cx="6071870" cy="316293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071870" cy="3162935"/>
                          <a:chExt cx="6071870" cy="3162935"/>
                        </a:xfrm>
                      </wpg:grpSpPr>
                      <pic:pic>
                        <pic:nvPicPr>
                          <pic:cNvPr id="2" name="Image 2" descr="Fennemore">
                            <a:hlinkClick r:id="rId6"/>
                          </pic:cNvPr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4505" cy="268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 descr="ROBIN KLOMPARENS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68700"/>
                            <a:ext cx="3038379" cy="28936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3038379" y="268700"/>
                            <a:ext cx="3033395" cy="2893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33395" h="2893695">
                                <a:moveTo>
                                  <a:pt x="3033212" y="2893694"/>
                                </a:moveTo>
                                <a:lnTo>
                                  <a:pt x="0" y="2893694"/>
                                </a:lnTo>
                                <a:lnTo>
                                  <a:pt x="0" y="0"/>
                                </a:lnTo>
                                <a:lnTo>
                                  <a:pt x="3033212" y="0"/>
                                </a:lnTo>
                                <a:lnTo>
                                  <a:pt x="3033212" y="2893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242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493097" y="1643214"/>
                            <a:ext cx="2118995" cy="320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18995" h="320675">
                                <a:moveTo>
                                  <a:pt x="2118601" y="315201"/>
                                </a:moveTo>
                                <a:lnTo>
                                  <a:pt x="0" y="315201"/>
                                </a:lnTo>
                                <a:lnTo>
                                  <a:pt x="0" y="320370"/>
                                </a:lnTo>
                                <a:lnTo>
                                  <a:pt x="2118601" y="320370"/>
                                </a:lnTo>
                                <a:lnTo>
                                  <a:pt x="2118601" y="315201"/>
                                </a:lnTo>
                                <a:close/>
                              </a:path>
                              <a:path w="2118995" h="320675">
                                <a:moveTo>
                                  <a:pt x="21186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168"/>
                                </a:lnTo>
                                <a:lnTo>
                                  <a:pt x="2118601" y="5168"/>
                                </a:lnTo>
                                <a:lnTo>
                                  <a:pt x="2118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750176" y="763308"/>
                            <a:ext cx="1619885" cy="10991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455" w:lineRule="exact" w:before="0"/>
                                <w:ind w:left="0" w:right="19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z w:val="39"/>
                                </w:rPr>
                                <w:t>ROBIN </w:t>
                              </w:r>
                              <w:r>
                                <w:rPr>
                                  <w:color w:val="FFFFFF"/>
                                  <w:spacing w:val="-5"/>
                                  <w:sz w:val="39"/>
                                </w:rPr>
                                <w:t>L.</w:t>
                              </w:r>
                            </w:p>
                            <w:p>
                              <w:pPr>
                                <w:spacing w:line="455" w:lineRule="exact" w:before="0"/>
                                <w:ind w:left="0" w:right="18" w:firstLine="0"/>
                                <w:jc w:val="center"/>
                                <w:rPr>
                                  <w:sz w:val="39"/>
                                </w:rPr>
                              </w:pPr>
                              <w:r>
                                <w:rPr>
                                  <w:color w:val="FFFFFF"/>
                                  <w:spacing w:val="-5"/>
                                  <w:sz w:val="39"/>
                                </w:rPr>
                                <w:t>KLOMPARENS</w:t>
                              </w:r>
                            </w:p>
                            <w:p>
                              <w:pPr>
                                <w:spacing w:before="39"/>
                                <w:ind w:left="0" w:right="18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FFFFFF"/>
                                  <w:spacing w:val="-2"/>
                                  <w:sz w:val="24"/>
                                </w:rPr>
                                <w:t>Director</w:t>
                              </w:r>
                            </w:p>
                            <w:p>
                              <w:pPr>
                                <w:spacing w:before="291"/>
                                <w:ind w:left="0" w:right="18" w:firstLine="0"/>
                                <w:jc w:val="center"/>
                                <w:rPr>
                                  <w:sz w:val="16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z w:val="16"/>
                                  </w:rPr>
                                  <w:t>Trusts &amp; </w:t>
                                </w:r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Estates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4243413" y="2133494"/>
                            <a:ext cx="63373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9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Sacramento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3582320" y="2293650"/>
                            <a:ext cx="79883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P: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916.920.5286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4750778" y="2293650"/>
                            <a:ext cx="787400" cy="1333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sz w:val="17"/>
                                </w:rPr>
                              </w:pPr>
                              <w:r>
                                <w:rPr>
                                  <w:color w:val="FFFFFF"/>
                                  <w:sz w:val="17"/>
                                </w:rPr>
                                <w:t>F: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7"/>
                                </w:rPr>
                                <w:t>916.920.5286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3707384" y="2500373"/>
                            <a:ext cx="17056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color w:val="FFFFFF"/>
                                    <w:spacing w:val="-2"/>
                                    <w:sz w:val="16"/>
                                  </w:rPr>
                                  <w:t>rklomparens@fennemorelaw.com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809998pt;margin-top:-254.428909pt;width:478.1pt;height:249.05pt;mso-position-horizontal-relative:page;mso-position-vertical-relative:paragraph;z-index:15728640" id="docshapegroup1" coordorigin="1336,-5089" coordsize="9562,4981">
                <v:shape style="position:absolute;left:1336;top:-5089;width:2165;height:424" type="#_x0000_t75" id="docshape2" alt="Fennemore" href="https://www.fennemorelaw.com/" stroked="false">
                  <v:imagedata r:id="rId5" o:title=""/>
                </v:shape>
                <v:shape style="position:absolute;left:1336;top:-4666;width:4785;height:4557" type="#_x0000_t75" id="docshape3" alt="ROBIN KLOMPARENS" stroked="false">
                  <v:imagedata r:id="rId7" o:title=""/>
                </v:shape>
                <v:rect style="position:absolute;left:6121;top:-4666;width:4777;height:4557" id="docshape4" filled="true" fillcolor="#262424" stroked="false">
                  <v:fill type="solid"/>
                </v:rect>
                <v:shape style="position:absolute;left:6837;top:-2501;width:3337;height:505" id="docshape5" coordorigin="6837,-2501" coordsize="3337,505" path="m10174,-2004l6837,-2004,6837,-1996,10174,-1996,10174,-2004xm10174,-2501l6837,-2501,6837,-2493,10174,-2493,10174,-2501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42;top:-3887;width:2551;height:1731" type="#_x0000_t202" id="docshape6" filled="false" stroked="false">
                  <v:textbox inset="0,0,0,0">
                    <w:txbxContent>
                      <w:p>
                        <w:pPr>
                          <w:spacing w:line="455" w:lineRule="exact" w:before="0"/>
                          <w:ind w:left="0" w:right="19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z w:val="39"/>
                          </w:rPr>
                          <w:t>ROBIN </w:t>
                        </w:r>
                        <w:r>
                          <w:rPr>
                            <w:color w:val="FFFFFF"/>
                            <w:spacing w:val="-5"/>
                            <w:sz w:val="39"/>
                          </w:rPr>
                          <w:t>L.</w:t>
                        </w:r>
                      </w:p>
                      <w:p>
                        <w:pPr>
                          <w:spacing w:line="455" w:lineRule="exact" w:before="0"/>
                          <w:ind w:left="0" w:right="18" w:firstLine="0"/>
                          <w:jc w:val="center"/>
                          <w:rPr>
                            <w:sz w:val="39"/>
                          </w:rPr>
                        </w:pPr>
                        <w:r>
                          <w:rPr>
                            <w:color w:val="FFFFFF"/>
                            <w:spacing w:val="-5"/>
                            <w:sz w:val="39"/>
                          </w:rPr>
                          <w:t>KLOMPARENS</w:t>
                        </w:r>
                      </w:p>
                      <w:p>
                        <w:pPr>
                          <w:spacing w:before="39"/>
                          <w:ind w:left="0" w:right="18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FFFFFF"/>
                            <w:spacing w:val="-2"/>
                            <w:sz w:val="24"/>
                          </w:rPr>
                          <w:t>Director</w:t>
                        </w:r>
                      </w:p>
                      <w:p>
                        <w:pPr>
                          <w:spacing w:before="291"/>
                          <w:ind w:left="0" w:right="18" w:firstLine="0"/>
                          <w:jc w:val="center"/>
                          <w:rPr>
                            <w:sz w:val="16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z w:val="16"/>
                            </w:rPr>
                            <w:t>Trusts &amp; </w:t>
                          </w:r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Estates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8018;top:-1729;width:998;height:200" type="#_x0000_t202" id="docshape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9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Sacramento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6977;top:-1477;width:1258;height:210" type="#_x0000_t202" id="docshape8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P: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916.920.5286</w:t>
                        </w:r>
                      </w:p>
                    </w:txbxContent>
                  </v:textbox>
                  <w10:wrap type="none"/>
                </v:shape>
                <v:shape style="position:absolute;left:8817;top:-1477;width:1240;height:210" type="#_x0000_t202" id="docshape9" filled="false" stroked="false">
                  <v:textbox inset="0,0,0,0">
                    <w:txbxContent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sz w:val="17"/>
                          </w:rPr>
                        </w:pPr>
                        <w:r>
                          <w:rPr>
                            <w:color w:val="FFFFFF"/>
                            <w:sz w:val="17"/>
                          </w:rPr>
                          <w:t>F: </w:t>
                        </w:r>
                        <w:r>
                          <w:rPr>
                            <w:color w:val="FFFFFF"/>
                            <w:spacing w:val="-2"/>
                            <w:sz w:val="17"/>
                          </w:rPr>
                          <w:t>916.920.5286</w:t>
                        </w:r>
                      </w:p>
                    </w:txbxContent>
                  </v:textbox>
                  <w10:wrap type="none"/>
                </v:shape>
                <v:shape style="position:absolute;left:7174;top:-1151;width:2686;height:200" type="#_x0000_t202" id="docshape10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sz w:val="16"/>
                          </w:rPr>
                        </w:pPr>
                        <w:hyperlink r:id="rId10">
                          <w:r>
                            <w:rPr>
                              <w:color w:val="FFFFFF"/>
                              <w:spacing w:val="-2"/>
                              <w:sz w:val="16"/>
                            </w:rPr>
                            <w:t>rklomparens@fennemorelaw.com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FF8100"/>
        </w:rPr>
        <w:t>ROBIN</w:t>
      </w:r>
      <w:r>
        <w:rPr>
          <w:color w:val="FF8100"/>
          <w:spacing w:val="5"/>
        </w:rPr>
        <w:t> </w:t>
      </w:r>
      <w:r>
        <w:rPr>
          <w:color w:val="FF8100"/>
        </w:rPr>
        <w:t>L.</w:t>
      </w:r>
      <w:r>
        <w:rPr>
          <w:color w:val="FF8100"/>
          <w:spacing w:val="5"/>
        </w:rPr>
        <w:t> </w:t>
      </w:r>
      <w:r>
        <w:rPr>
          <w:color w:val="FF8100"/>
          <w:spacing w:val="-2"/>
        </w:rPr>
        <w:t>KLOMPARENS</w:t>
      </w:r>
    </w:p>
    <w:p>
      <w:pPr>
        <w:pStyle w:val="BodyText"/>
        <w:spacing w:line="295" w:lineRule="auto" w:before="146"/>
        <w:ind w:right="476"/>
      </w:pPr>
      <w:r>
        <w:rPr>
          <w:color w:val="6E6158"/>
        </w:rPr>
        <w:t>Robin Klomparens is a tax attorney with a finance degree from the Warrington College of</w:t>
      </w:r>
      <w:r>
        <w:rPr>
          <w:color w:val="6E6158"/>
          <w:spacing w:val="80"/>
        </w:rPr>
        <w:t> </w:t>
      </w:r>
      <w:r>
        <w:rPr>
          <w:color w:val="6E6158"/>
        </w:rPr>
        <w:t>Business at University of Florida and a Juris Doctorate and LL.M. in Taxation from the University of</w:t>
      </w:r>
      <w:r>
        <w:rPr>
          <w:color w:val="6E6158"/>
          <w:spacing w:val="40"/>
        </w:rPr>
        <w:t> </w:t>
      </w:r>
      <w:r>
        <w:rPr>
          <w:color w:val="6E6158"/>
        </w:rPr>
        <w:t>Miami. Admitted to the Florida Bar in 1986 and the California Bar in 1987, she also practices</w:t>
      </w:r>
      <w:r>
        <w:rPr>
          <w:color w:val="6E6158"/>
          <w:spacing w:val="40"/>
        </w:rPr>
        <w:t> </w:t>
      </w:r>
      <w:r>
        <w:rPr>
          <w:color w:val="6E6158"/>
        </w:rPr>
        <w:t>before the U.S. Tax Court and the U.S. Supreme Court. Her achievements include receiving the</w:t>
      </w:r>
      <w:r>
        <w:rPr>
          <w:color w:val="6E6158"/>
          <w:spacing w:val="40"/>
        </w:rPr>
        <w:t> </w:t>
      </w:r>
      <w:r>
        <w:rPr>
          <w:color w:val="6E6158"/>
        </w:rPr>
        <w:t>Joanne Garvey Lifetime Achievement Award in 2019.</w:t>
      </w:r>
    </w:p>
    <w:p>
      <w:pPr>
        <w:pStyle w:val="BodyText"/>
        <w:spacing w:line="295" w:lineRule="auto" w:before="203"/>
      </w:pPr>
      <w:r>
        <w:rPr>
          <w:color w:val="6E6158"/>
        </w:rPr>
        <w:t>Renowned for her expertise in tax law, Robin excels in navigating complex tax code changes,</w:t>
      </w:r>
      <w:r>
        <w:rPr>
          <w:color w:val="6E6158"/>
          <w:spacing w:val="40"/>
        </w:rPr>
        <w:t> </w:t>
      </w:r>
      <w:r>
        <w:rPr>
          <w:color w:val="6E6158"/>
        </w:rPr>
        <w:t>providing</w:t>
      </w:r>
      <w:r>
        <w:rPr>
          <w:color w:val="6E6158"/>
          <w:spacing w:val="33"/>
        </w:rPr>
        <w:t> </w:t>
      </w:r>
      <w:r>
        <w:rPr>
          <w:color w:val="6E6158"/>
        </w:rPr>
        <w:t>her</w:t>
      </w:r>
      <w:r>
        <w:rPr>
          <w:color w:val="6E6158"/>
          <w:spacing w:val="33"/>
        </w:rPr>
        <w:t> </w:t>
      </w:r>
      <w:r>
        <w:rPr>
          <w:color w:val="6E6158"/>
        </w:rPr>
        <w:t>clients</w:t>
      </w:r>
      <w:r>
        <w:rPr>
          <w:color w:val="6E6158"/>
          <w:spacing w:val="33"/>
        </w:rPr>
        <w:t> </w:t>
      </w:r>
      <w:r>
        <w:rPr>
          <w:color w:val="6E6158"/>
        </w:rPr>
        <w:t>with</w:t>
      </w:r>
      <w:r>
        <w:rPr>
          <w:color w:val="6E6158"/>
          <w:spacing w:val="33"/>
        </w:rPr>
        <w:t> </w:t>
      </w:r>
      <w:r>
        <w:rPr>
          <w:color w:val="6E6158"/>
        </w:rPr>
        <w:t>up-to-date</w:t>
      </w:r>
      <w:r>
        <w:rPr>
          <w:color w:val="6E6158"/>
          <w:spacing w:val="33"/>
        </w:rPr>
        <w:t> </w:t>
      </w:r>
      <w:r>
        <w:rPr>
          <w:color w:val="6E6158"/>
        </w:rPr>
        <w:t>and</w:t>
      </w:r>
      <w:r>
        <w:rPr>
          <w:color w:val="6E6158"/>
          <w:spacing w:val="33"/>
        </w:rPr>
        <w:t> </w:t>
      </w:r>
      <w:r>
        <w:rPr>
          <w:color w:val="6E6158"/>
        </w:rPr>
        <w:t>effective</w:t>
      </w:r>
      <w:r>
        <w:rPr>
          <w:color w:val="6E6158"/>
          <w:spacing w:val="33"/>
        </w:rPr>
        <w:t> </w:t>
      </w:r>
      <w:r>
        <w:rPr>
          <w:color w:val="6E6158"/>
        </w:rPr>
        <w:t>legal</w:t>
      </w:r>
      <w:r>
        <w:rPr>
          <w:color w:val="6E6158"/>
          <w:spacing w:val="33"/>
        </w:rPr>
        <w:t> </w:t>
      </w:r>
      <w:r>
        <w:rPr>
          <w:color w:val="6E6158"/>
        </w:rPr>
        <w:t>counsel.</w:t>
      </w:r>
      <w:r>
        <w:rPr>
          <w:color w:val="6E6158"/>
          <w:spacing w:val="33"/>
        </w:rPr>
        <w:t> </w:t>
      </w:r>
      <w:r>
        <w:rPr>
          <w:color w:val="6E6158"/>
        </w:rPr>
        <w:t>She</w:t>
      </w:r>
      <w:r>
        <w:rPr>
          <w:color w:val="6E6158"/>
          <w:spacing w:val="33"/>
        </w:rPr>
        <w:t> </w:t>
      </w:r>
      <w:r>
        <w:rPr>
          <w:color w:val="6E6158"/>
        </w:rPr>
        <w:t>has</w:t>
      </w:r>
      <w:r>
        <w:rPr>
          <w:color w:val="6E6158"/>
          <w:spacing w:val="33"/>
        </w:rPr>
        <w:t> </w:t>
      </w:r>
      <w:r>
        <w:rPr>
          <w:color w:val="6E6158"/>
        </w:rPr>
        <w:t>contributed significantly to legal education as an adjunct professor at USF’s LLM program, Golden Gate</w:t>
      </w:r>
      <w:r>
        <w:rPr>
          <w:color w:val="6E6158"/>
          <w:spacing w:val="40"/>
        </w:rPr>
        <w:t> </w:t>
      </w:r>
      <w:r>
        <w:rPr>
          <w:color w:val="6E6158"/>
        </w:rPr>
        <w:t>University’s MS program, and currently at McGeorge School of Law. A prior member and current</w:t>
      </w:r>
      <w:r>
        <w:rPr>
          <w:color w:val="6E6158"/>
          <w:spacing w:val="40"/>
        </w:rPr>
        <w:t> </w:t>
      </w:r>
      <w:r>
        <w:rPr>
          <w:color w:val="6E6158"/>
        </w:rPr>
        <w:t>advisor</w:t>
      </w:r>
      <w:r>
        <w:rPr>
          <w:color w:val="6E6158"/>
          <w:spacing w:val="28"/>
        </w:rPr>
        <w:t> </w:t>
      </w:r>
      <w:r>
        <w:rPr>
          <w:color w:val="6E6158"/>
        </w:rPr>
        <w:t>to</w:t>
      </w:r>
      <w:r>
        <w:rPr>
          <w:color w:val="6E6158"/>
          <w:spacing w:val="28"/>
        </w:rPr>
        <w:t> </w:t>
      </w:r>
      <w:r>
        <w:rPr>
          <w:color w:val="6E6158"/>
        </w:rPr>
        <w:t>CLA’s</w:t>
      </w:r>
      <w:r>
        <w:rPr>
          <w:color w:val="6E6158"/>
          <w:spacing w:val="28"/>
        </w:rPr>
        <w:t> </w:t>
      </w:r>
      <w:r>
        <w:rPr>
          <w:color w:val="6E6158"/>
        </w:rPr>
        <w:t>Tax</w:t>
      </w:r>
      <w:r>
        <w:rPr>
          <w:color w:val="6E6158"/>
          <w:spacing w:val="28"/>
        </w:rPr>
        <w:t> </w:t>
      </w:r>
      <w:r>
        <w:rPr>
          <w:color w:val="6E6158"/>
        </w:rPr>
        <w:t>Section</w:t>
      </w:r>
      <w:r>
        <w:rPr>
          <w:color w:val="6E6158"/>
          <w:spacing w:val="28"/>
        </w:rPr>
        <w:t> </w:t>
      </w:r>
      <w:r>
        <w:rPr>
          <w:color w:val="6E6158"/>
        </w:rPr>
        <w:t>Executive</w:t>
      </w:r>
      <w:r>
        <w:rPr>
          <w:color w:val="6E6158"/>
          <w:spacing w:val="28"/>
        </w:rPr>
        <w:t> </w:t>
      </w:r>
      <w:r>
        <w:rPr>
          <w:color w:val="6E6158"/>
        </w:rPr>
        <w:t>Committee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Estate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Gift</w:t>
      </w:r>
      <w:r>
        <w:rPr>
          <w:color w:val="6E6158"/>
          <w:spacing w:val="28"/>
        </w:rPr>
        <w:t> </w:t>
      </w:r>
      <w:r>
        <w:rPr>
          <w:color w:val="6E6158"/>
        </w:rPr>
        <w:t>Committee,</w:t>
      </w:r>
      <w:r>
        <w:rPr>
          <w:color w:val="6E6158"/>
          <w:spacing w:val="28"/>
        </w:rPr>
        <w:t> </w:t>
      </w:r>
      <w:r>
        <w:rPr>
          <w:color w:val="6E6158"/>
        </w:rPr>
        <w:t>and</w:t>
      </w:r>
      <w:r>
        <w:rPr>
          <w:color w:val="6E6158"/>
          <w:spacing w:val="28"/>
        </w:rPr>
        <w:t> </w:t>
      </w:r>
      <w:r>
        <w:rPr>
          <w:color w:val="6E6158"/>
        </w:rPr>
        <w:t>a member of ACTEC, she also contributes to various charitable boards. Her extensive lecturing and</w:t>
      </w:r>
      <w:r>
        <w:rPr>
          <w:color w:val="6E6158"/>
          <w:spacing w:val="40"/>
        </w:rPr>
        <w:t> </w:t>
      </w:r>
      <w:r>
        <w:rPr>
          <w:color w:val="6E6158"/>
        </w:rPr>
        <w:t>publications further establish her knowledge in tax law.</w:t>
      </w:r>
    </w:p>
    <w:p>
      <w:pPr>
        <w:pStyle w:val="Heading1"/>
        <w:spacing w:before="158"/>
      </w:pPr>
      <w:r>
        <w:rPr>
          <w:color w:val="FF8100"/>
          <w:spacing w:val="-2"/>
        </w:rPr>
        <w:t>EDUCATION</w:t>
      </w:r>
    </w:p>
    <w:p>
      <w:pPr>
        <w:pStyle w:val="BodyText"/>
        <w:spacing w:before="35"/>
        <w:ind w:left="0"/>
        <w:rPr>
          <w:b/>
        </w:rPr>
      </w:pPr>
    </w:p>
    <w:p>
      <w:pPr>
        <w:pStyle w:val="BodyText"/>
      </w:pPr>
      <w:r>
        <w:rPr>
          <w:color w:val="6E6158"/>
        </w:rPr>
        <w:t>L.L.</w:t>
      </w:r>
      <w:r>
        <w:rPr>
          <w:color w:val="6E6158"/>
          <w:spacing w:val="8"/>
        </w:rPr>
        <w:t> </w:t>
      </w:r>
      <w:r>
        <w:rPr>
          <w:color w:val="6E6158"/>
        </w:rPr>
        <w:t>M.,</w:t>
      </w:r>
      <w:r>
        <w:rPr>
          <w:color w:val="6E6158"/>
          <w:spacing w:val="8"/>
        </w:rPr>
        <w:t> </w:t>
      </w:r>
      <w:r>
        <w:rPr>
          <w:color w:val="6E6158"/>
        </w:rPr>
        <w:t>Taxation,</w:t>
      </w:r>
      <w:r>
        <w:rPr>
          <w:color w:val="6E6158"/>
          <w:spacing w:val="9"/>
        </w:rPr>
        <w:t> </w:t>
      </w:r>
      <w:r>
        <w:rPr>
          <w:color w:val="6E6158"/>
        </w:rPr>
        <w:t>University</w:t>
      </w:r>
      <w:r>
        <w:rPr>
          <w:color w:val="6E6158"/>
          <w:spacing w:val="8"/>
        </w:rPr>
        <w:t> </w:t>
      </w:r>
      <w:r>
        <w:rPr>
          <w:color w:val="6E6158"/>
        </w:rPr>
        <w:t>of</w:t>
      </w:r>
      <w:r>
        <w:rPr>
          <w:color w:val="6E6158"/>
          <w:spacing w:val="9"/>
        </w:rPr>
        <w:t> </w:t>
      </w:r>
      <w:r>
        <w:rPr>
          <w:color w:val="6E6158"/>
          <w:spacing w:val="-2"/>
        </w:rPr>
        <w:t>Miami</w:t>
      </w:r>
    </w:p>
    <w:p>
      <w:pPr>
        <w:pStyle w:val="BodyText"/>
        <w:spacing w:line="420" w:lineRule="auto" w:before="174"/>
        <w:ind w:right="5395"/>
      </w:pPr>
      <w:r>
        <w:rPr>
          <w:color w:val="6E6158"/>
        </w:rPr>
        <w:t>J.D., University of Miami, School of </w:t>
      </w:r>
      <w:r>
        <w:rPr>
          <w:color w:val="6E6158"/>
        </w:rPr>
        <w:t>Law</w:t>
      </w:r>
      <w:r>
        <w:rPr>
          <w:color w:val="6E6158"/>
        </w:rPr>
        <w:t> B.S., B.A., University of Florida</w:t>
      </w:r>
    </w:p>
    <w:p>
      <w:pPr>
        <w:pStyle w:val="Heading1"/>
        <w:spacing w:before="282"/>
      </w:pPr>
      <w:r>
        <w:rPr>
          <w:color w:val="FF8100"/>
        </w:rPr>
        <w:t>AREAS</w:t>
      </w:r>
      <w:r>
        <w:rPr>
          <w:color w:val="FF8100"/>
          <w:spacing w:val="6"/>
        </w:rPr>
        <w:t> </w:t>
      </w:r>
      <w:r>
        <w:rPr>
          <w:color w:val="FF8100"/>
        </w:rPr>
        <w:t>OF</w:t>
      </w:r>
      <w:r>
        <w:rPr>
          <w:color w:val="FF8100"/>
          <w:spacing w:val="6"/>
        </w:rPr>
        <w:t> </w:t>
      </w:r>
      <w:r>
        <w:rPr>
          <w:color w:val="FF8100"/>
          <w:spacing w:val="-2"/>
        </w:rPr>
        <w:t>PRACTICE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2" w:lineRule="auto"/>
        <w:ind w:right="7211"/>
      </w:pPr>
      <w:r>
        <w:rPr>
          <w:color w:val="6E6158"/>
        </w:rPr>
        <w:t>Trusts &amp; Estates Business &amp; </w:t>
      </w:r>
      <w:r>
        <w:rPr>
          <w:color w:val="6E6158"/>
        </w:rPr>
        <w:t>Finance Estate Litigation</w:t>
      </w:r>
    </w:p>
    <w:p>
      <w:pPr>
        <w:pStyle w:val="BodyText"/>
        <w:spacing w:line="232" w:lineRule="exact"/>
      </w:pPr>
      <w:r>
        <w:rPr>
          <w:color w:val="6E6158"/>
        </w:rPr>
        <w:t>Tax</w:t>
      </w:r>
      <w:r>
        <w:rPr>
          <w:color w:val="6E6158"/>
          <w:spacing w:val="-4"/>
        </w:rPr>
        <w:t> </w:t>
      </w:r>
      <w:r>
        <w:rPr>
          <w:color w:val="6E6158"/>
          <w:spacing w:val="-5"/>
        </w:rPr>
        <w:t>Law</w:t>
      </w:r>
    </w:p>
    <w:p>
      <w:pPr>
        <w:pStyle w:val="BodyText"/>
        <w:spacing w:line="420" w:lineRule="auto" w:before="182"/>
        <w:ind w:right="7211"/>
      </w:pPr>
      <w:r>
        <w:rPr>
          <w:color w:val="6E6158"/>
        </w:rPr>
        <w:t>Estate Planning Cannabis </w:t>
      </w:r>
      <w:r>
        <w:rPr>
          <w:color w:val="6E6158"/>
        </w:rPr>
        <w:t>Business</w:t>
      </w:r>
    </w:p>
    <w:p>
      <w:pPr>
        <w:pStyle w:val="BodyText"/>
        <w:spacing w:after="0" w:line="420" w:lineRule="auto"/>
        <w:sectPr>
          <w:type w:val="continuous"/>
          <w:pgSz w:w="12240" w:h="15840"/>
          <w:pgMar w:top="560" w:bottom="280" w:left="1440" w:right="1440"/>
        </w:sectPr>
      </w:pPr>
    </w:p>
    <w:p>
      <w:pPr>
        <w:pStyle w:val="Heading1"/>
        <w:spacing w:before="83"/>
      </w:pPr>
      <w:r>
        <w:rPr>
          <w:color w:val="FF8100"/>
        </w:rPr>
        <w:t>AWARDS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HONORS</w:t>
      </w:r>
    </w:p>
    <w:p>
      <w:pPr>
        <w:pStyle w:val="BodyText"/>
        <w:spacing w:line="408" w:lineRule="auto" w:before="253"/>
      </w:pPr>
      <w:r>
        <w:rPr>
          <w:i/>
          <w:color w:val="6E6158"/>
          <w:sz w:val="20"/>
        </w:rPr>
        <w:t>Best Lawyers in America</w:t>
      </w:r>
      <w:r>
        <w:rPr>
          <w:i/>
          <w:color w:val="6E6158"/>
          <w:position w:val="7"/>
          <w:sz w:val="16"/>
        </w:rPr>
        <w:t>®</w:t>
      </w:r>
      <w:r>
        <w:rPr>
          <w:i/>
          <w:color w:val="6E6158"/>
          <w:sz w:val="20"/>
        </w:rPr>
        <w:t>, </w:t>
      </w:r>
      <w:r>
        <w:rPr>
          <w:color w:val="6E6158"/>
        </w:rPr>
        <w:t>Litigation – Trusts and Estates, Tax Law, Trusts and Estates, 2024-2027 Joanne Garvey Distinguished Lifetime Achievement Award, State Bar of California</w:t>
      </w:r>
    </w:p>
    <w:p>
      <w:pPr>
        <w:pStyle w:val="BodyText"/>
        <w:spacing w:line="420" w:lineRule="auto" w:before="20"/>
        <w:ind w:right="1038"/>
      </w:pPr>
      <w:r>
        <w:rPr>
          <w:color w:val="6E6158"/>
        </w:rPr>
        <w:t>V. Judson Klein Award for Outstanding Achievement in Taxation, State Bar of California AV Preeminent 5.0 Peer Review Rated by Martindale-Hubbell</w:t>
      </w:r>
    </w:p>
    <w:p>
      <w:pPr>
        <w:spacing w:line="266" w:lineRule="exact" w:before="0"/>
        <w:ind w:left="99" w:right="0" w:firstLine="0"/>
        <w:jc w:val="left"/>
        <w:rPr>
          <w:sz w:val="19"/>
        </w:rPr>
      </w:pPr>
      <w:r>
        <w:rPr>
          <w:i/>
          <w:color w:val="6E6158"/>
          <w:sz w:val="20"/>
        </w:rPr>
        <w:t>Northern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California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Super</w:t>
      </w:r>
      <w:r>
        <w:rPr>
          <w:i/>
          <w:color w:val="6E6158"/>
          <w:spacing w:val="-5"/>
          <w:sz w:val="20"/>
        </w:rPr>
        <w:t> </w:t>
      </w:r>
      <w:r>
        <w:rPr>
          <w:i/>
          <w:color w:val="6E6158"/>
          <w:sz w:val="20"/>
        </w:rPr>
        <w:t>Lawyers</w:t>
      </w:r>
      <w:r>
        <w:rPr>
          <w:i/>
          <w:color w:val="6E6158"/>
          <w:position w:val="7"/>
          <w:sz w:val="16"/>
        </w:rPr>
        <w:t>®</w:t>
      </w:r>
      <w:r>
        <w:rPr>
          <w:color w:val="6E6158"/>
          <w:sz w:val="19"/>
        </w:rPr>
        <w:t>,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Estate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&amp;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Probate,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2004,</w:t>
      </w:r>
      <w:r>
        <w:rPr>
          <w:color w:val="6E6158"/>
          <w:spacing w:val="-2"/>
          <w:sz w:val="19"/>
        </w:rPr>
        <w:t> </w:t>
      </w:r>
      <w:r>
        <w:rPr>
          <w:color w:val="6E6158"/>
          <w:sz w:val="19"/>
        </w:rPr>
        <w:t>2006,</w:t>
      </w:r>
      <w:r>
        <w:rPr>
          <w:color w:val="6E6158"/>
          <w:spacing w:val="-1"/>
          <w:sz w:val="19"/>
        </w:rPr>
        <w:t> </w:t>
      </w:r>
      <w:r>
        <w:rPr>
          <w:color w:val="6E6158"/>
          <w:sz w:val="19"/>
        </w:rPr>
        <w:t>2016-</w:t>
      </w:r>
      <w:r>
        <w:rPr>
          <w:color w:val="6E6158"/>
          <w:spacing w:val="-4"/>
          <w:sz w:val="19"/>
        </w:rPr>
        <w:t>2026</w:t>
      </w:r>
    </w:p>
    <w:p>
      <w:pPr>
        <w:pStyle w:val="BodyText"/>
        <w:spacing w:before="160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ARTICLES</w:t>
      </w:r>
      <w:r>
        <w:rPr>
          <w:color w:val="FF8100"/>
          <w:spacing w:val="8"/>
        </w:rPr>
        <w:t> </w:t>
      </w:r>
      <w:r>
        <w:rPr>
          <w:color w:val="FF8100"/>
        </w:rPr>
        <w:t>AND</w:t>
      </w:r>
      <w:r>
        <w:rPr>
          <w:color w:val="FF8100"/>
          <w:spacing w:val="9"/>
        </w:rPr>
        <w:t> </w:t>
      </w:r>
      <w:r>
        <w:rPr>
          <w:color w:val="FF8100"/>
          <w:spacing w:val="-2"/>
        </w:rPr>
        <w:t>PRESENTATION</w:t>
      </w:r>
    </w:p>
    <w:p>
      <w:pPr>
        <w:pStyle w:val="BodyText"/>
        <w:spacing w:before="36"/>
        <w:ind w:left="0"/>
        <w:rPr>
          <w:b/>
        </w:rPr>
      </w:pPr>
    </w:p>
    <w:p>
      <w:pPr>
        <w:pStyle w:val="BodyText"/>
        <w:spacing w:line="292" w:lineRule="auto"/>
        <w:ind w:right="476"/>
      </w:pPr>
      <w:r>
        <w:rPr>
          <w:color w:val="6E6158"/>
        </w:rPr>
        <w:t>Co-Author, “</w:t>
      </w:r>
      <w:hyperlink r:id="rId11">
        <w:r>
          <w:rPr>
            <w:color w:val="F5821F"/>
          </w:rPr>
          <w:t>Fennemore’s Tax, Mergers and Acquisitions, and Real Estate Analysis of </w:t>
        </w:r>
        <w:r>
          <w:rPr>
            <w:color w:val="F5821F"/>
          </w:rPr>
          <w:t>the</w:t>
        </w:r>
      </w:hyperlink>
      <w:r>
        <w:rPr>
          <w:color w:val="F5821F"/>
        </w:rPr>
        <w:t> </w:t>
      </w:r>
      <w:hyperlink r:id="rId11">
        <w:r>
          <w:rPr>
            <w:color w:val="F5821F"/>
          </w:rPr>
          <w:t>Rescheduling of Medical Marijuana</w:t>
        </w:r>
      </w:hyperlink>
      <w:r>
        <w:rPr>
          <w:color w:val="6E6158"/>
        </w:rPr>
        <w:t>,” Fennemore Blog, June 2, 2026</w:t>
      </w:r>
    </w:p>
    <w:p>
      <w:pPr>
        <w:pStyle w:val="BodyText"/>
        <w:spacing w:line="292" w:lineRule="auto" w:before="123"/>
        <w:ind w:right="476"/>
      </w:pPr>
      <w:r>
        <w:rPr>
          <w:color w:val="6E6158"/>
        </w:rPr>
        <w:t>Author, “</w:t>
      </w:r>
      <w:hyperlink r:id="rId12">
        <w:r>
          <w:rPr>
            <w:color w:val="F5821F"/>
          </w:rPr>
          <w:t>Mastering the tax code: Robin L. Klomparens</w:t>
        </w:r>
      </w:hyperlink>
      <w:r>
        <w:rPr>
          <w:color w:val="6E6158"/>
        </w:rPr>
        <w:t>,” University of Miami Law School, April 3, </w:t>
      </w:r>
      <w:r>
        <w:rPr>
          <w:color w:val="6E6158"/>
          <w:spacing w:val="-4"/>
        </w:rPr>
        <w:t>2026</w:t>
      </w:r>
    </w:p>
    <w:p>
      <w:pPr>
        <w:pStyle w:val="BodyText"/>
        <w:spacing w:line="292" w:lineRule="auto" w:before="132"/>
        <w:ind w:right="476"/>
      </w:pPr>
      <w:r>
        <w:rPr>
          <w:color w:val="6E6158"/>
        </w:rPr>
        <w:t>Speaker, “</w:t>
      </w:r>
      <w:hyperlink r:id="rId13">
        <w:r>
          <w:rPr>
            <w:color w:val="F5821F"/>
          </w:rPr>
          <w:t>Estate Planning for the Real Estate and Agricultural Property Owner (E&amp;G)</w:t>
        </w:r>
      </w:hyperlink>
      <w:r>
        <w:rPr>
          <w:color w:val="6E6158"/>
        </w:rPr>
        <w:t>,” 2025 California All-Tax Conference, California Lawyers Association, November 14, 2025</w:t>
      </w:r>
    </w:p>
    <w:p>
      <w:pPr>
        <w:pStyle w:val="BodyText"/>
        <w:spacing w:line="292" w:lineRule="auto" w:before="123"/>
      </w:pPr>
      <w:r>
        <w:rPr>
          <w:color w:val="6E6158"/>
        </w:rPr>
        <w:t>Author, “</w:t>
      </w:r>
      <w:hyperlink r:id="rId14">
        <w:r>
          <w:rPr>
            <w:color w:val="F5821F"/>
          </w:rPr>
          <w:t>Preparing for Tax Evolution: What Changes to the Tax Cuts and Jobs Act Means for</w:t>
        </w:r>
      </w:hyperlink>
      <w:r>
        <w:rPr>
          <w:color w:val="F5821F"/>
        </w:rPr>
        <w:t> </w:t>
      </w:r>
      <w:hyperlink r:id="rId14">
        <w:r>
          <w:rPr>
            <w:color w:val="F5821F"/>
          </w:rPr>
          <w:t>Businesses and Individuals in 2025</w:t>
        </w:r>
      </w:hyperlink>
      <w:r>
        <w:rPr>
          <w:color w:val="6E6158"/>
        </w:rPr>
        <w:t>,” Fennemore Blog, January 28, 2025</w:t>
      </w:r>
    </w:p>
    <w:p>
      <w:pPr>
        <w:pStyle w:val="BodyText"/>
        <w:spacing w:line="292" w:lineRule="auto" w:before="131"/>
        <w:ind w:right="476"/>
      </w:pPr>
      <w:r>
        <w:rPr>
          <w:color w:val="6E6158"/>
        </w:rPr>
        <w:t>Author, “</w:t>
      </w:r>
      <w:hyperlink r:id="rId15">
        <w:r>
          <w:rPr>
            <w:color w:val="F5821F"/>
          </w:rPr>
          <w:t>Varying economic climates could impact how you navigate estate </w:t>
        </w:r>
        <w:r>
          <w:rPr>
            <w:color w:val="F5821F"/>
          </w:rPr>
          <w:t>planning</w:t>
        </w:r>
      </w:hyperlink>
      <w:r>
        <w:rPr>
          <w:color w:val="6E6158"/>
        </w:rPr>
        <w:t>,” Sacramento Business Journal, August 7, 2024</w:t>
      </w:r>
    </w:p>
    <w:p>
      <w:pPr>
        <w:pStyle w:val="BodyText"/>
        <w:spacing w:before="124"/>
      </w:pPr>
      <w:r>
        <w:rPr>
          <w:color w:val="6E6158"/>
        </w:rPr>
        <w:t>Author,</w:t>
      </w:r>
      <w:r>
        <w:rPr>
          <w:color w:val="6E6158"/>
          <w:spacing w:val="8"/>
        </w:rPr>
        <w:t> </w:t>
      </w:r>
      <w:r>
        <w:rPr>
          <w:color w:val="6E6158"/>
        </w:rPr>
        <w:t>“</w:t>
      </w:r>
      <w:hyperlink r:id="rId16">
        <w:r>
          <w:rPr>
            <w:color w:val="F5821F"/>
          </w:rPr>
          <w:t>The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Future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of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Filing</w:t>
        </w:r>
        <w:r>
          <w:rPr>
            <w:color w:val="F5821F"/>
            <w:spacing w:val="9"/>
          </w:rPr>
          <w:t> </w:t>
        </w:r>
        <w:r>
          <w:rPr>
            <w:color w:val="F5821F"/>
          </w:rPr>
          <w:t>Taxes</w:t>
        </w:r>
        <w:r>
          <w:rPr>
            <w:color w:val="F5821F"/>
            <w:spacing w:val="8"/>
          </w:rPr>
          <w:t> </w:t>
        </w:r>
        <w:r>
          <w:rPr>
            <w:color w:val="F5821F"/>
          </w:rPr>
          <w:t>Explained</w:t>
        </w:r>
      </w:hyperlink>
      <w:r>
        <w:rPr>
          <w:color w:val="6E6158"/>
        </w:rPr>
        <w:t>,”</w:t>
      </w:r>
      <w:r>
        <w:rPr>
          <w:color w:val="6E6158"/>
          <w:spacing w:val="9"/>
        </w:rPr>
        <w:t> </w:t>
      </w:r>
      <w:r>
        <w:rPr>
          <w:color w:val="6E6158"/>
        </w:rPr>
        <w:t>Fennemore</w:t>
      </w:r>
      <w:r>
        <w:rPr>
          <w:color w:val="6E6158"/>
          <w:spacing w:val="9"/>
        </w:rPr>
        <w:t> </w:t>
      </w:r>
      <w:r>
        <w:rPr>
          <w:color w:val="6E6158"/>
        </w:rPr>
        <w:t>Blog,</w:t>
      </w:r>
      <w:r>
        <w:rPr>
          <w:color w:val="6E6158"/>
          <w:spacing w:val="8"/>
        </w:rPr>
        <w:t> </w:t>
      </w:r>
      <w:r>
        <w:rPr>
          <w:color w:val="6E6158"/>
        </w:rPr>
        <w:t>April</w:t>
      </w:r>
      <w:r>
        <w:rPr>
          <w:color w:val="6E6158"/>
          <w:spacing w:val="9"/>
        </w:rPr>
        <w:t> </w:t>
      </w:r>
      <w:r>
        <w:rPr>
          <w:color w:val="6E6158"/>
        </w:rPr>
        <w:t>4,</w:t>
      </w:r>
      <w:r>
        <w:rPr>
          <w:color w:val="6E6158"/>
          <w:spacing w:val="8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302" w:lineRule="auto" w:before="174"/>
      </w:pPr>
      <w:r>
        <w:rPr>
          <w:color w:val="6E6158"/>
        </w:rPr>
        <w:t>Presenter, “From Death to Distribution,” 2024 Estate and Gift Tax Conference, California Lawyers Association, March 21, 2024</w:t>
      </w:r>
    </w:p>
    <w:p>
      <w:pPr>
        <w:pStyle w:val="BodyText"/>
        <w:spacing w:before="112"/>
      </w:pPr>
      <w:r>
        <w:rPr>
          <w:color w:val="6E6158"/>
        </w:rPr>
        <w:t>Co-Author,</w:t>
      </w:r>
      <w:r>
        <w:rPr>
          <w:color w:val="6E6158"/>
          <w:spacing w:val="10"/>
        </w:rPr>
        <w:t> </w:t>
      </w:r>
      <w:r>
        <w:rPr>
          <w:color w:val="6E6158"/>
        </w:rPr>
        <w:t>“Corporate</w:t>
      </w:r>
      <w:r>
        <w:rPr>
          <w:color w:val="6E6158"/>
          <w:spacing w:val="11"/>
        </w:rPr>
        <w:t> </w:t>
      </w:r>
      <w:r>
        <w:rPr>
          <w:color w:val="6E6158"/>
        </w:rPr>
        <w:t>Transparency</w:t>
      </w:r>
      <w:r>
        <w:rPr>
          <w:color w:val="6E6158"/>
          <w:spacing w:val="11"/>
        </w:rPr>
        <w:t> </w:t>
      </w:r>
      <w:r>
        <w:rPr>
          <w:color w:val="6E6158"/>
        </w:rPr>
        <w:t>Act,”</w:t>
      </w:r>
      <w:r>
        <w:rPr>
          <w:color w:val="6E6158"/>
          <w:spacing w:val="11"/>
        </w:rPr>
        <w:t> </w:t>
      </w:r>
      <w:r>
        <w:rPr>
          <w:color w:val="6E6158"/>
        </w:rPr>
        <w:t>Firm</w:t>
      </w:r>
      <w:r>
        <w:rPr>
          <w:color w:val="6E6158"/>
          <w:spacing w:val="11"/>
        </w:rPr>
        <w:t> </w:t>
      </w:r>
      <w:r>
        <w:rPr>
          <w:color w:val="6E6158"/>
        </w:rPr>
        <w:t>Newsletter,</w:t>
      </w:r>
      <w:r>
        <w:rPr>
          <w:color w:val="6E6158"/>
          <w:spacing w:val="11"/>
        </w:rPr>
        <w:t> </w:t>
      </w:r>
      <w:r>
        <w:rPr>
          <w:color w:val="6E6158"/>
        </w:rPr>
        <w:t>January</w:t>
      </w:r>
      <w:r>
        <w:rPr>
          <w:color w:val="6E6158"/>
          <w:spacing w:val="11"/>
        </w:rPr>
        <w:t> </w:t>
      </w:r>
      <w:r>
        <w:rPr>
          <w:color w:val="6E6158"/>
        </w:rPr>
        <w:t>19,</w:t>
      </w:r>
      <w:r>
        <w:rPr>
          <w:color w:val="6E6158"/>
          <w:spacing w:val="11"/>
        </w:rPr>
        <w:t> </w:t>
      </w:r>
      <w:r>
        <w:rPr>
          <w:color w:val="6E6158"/>
          <w:spacing w:val="-4"/>
        </w:rPr>
        <w:t>2024</w:t>
      </w:r>
    </w:p>
    <w:p>
      <w:pPr>
        <w:pStyle w:val="BodyText"/>
        <w:spacing w:line="302" w:lineRule="auto" w:before="174"/>
        <w:ind w:right="476"/>
      </w:pPr>
      <w:r>
        <w:rPr>
          <w:color w:val="6E6158"/>
        </w:rPr>
        <w:t>Author, “California Senate Bill 131 Closes Loophole for Incomplete Gift Non-Grantor </w:t>
      </w:r>
      <w:r>
        <w:rPr>
          <w:color w:val="6E6158"/>
        </w:rPr>
        <w:t>Trusts (“INGs”),” Firm Newsletter, July 18, 2023</w:t>
      </w:r>
    </w:p>
    <w:p>
      <w:pPr>
        <w:pStyle w:val="BodyText"/>
        <w:spacing w:line="292" w:lineRule="auto" w:before="113"/>
        <w:ind w:right="476"/>
      </w:pPr>
      <w:r>
        <w:rPr>
          <w:color w:val="6E6158"/>
        </w:rPr>
        <w:t>Co-Author, “Proposition 19 Brings Substantial Changes to California’s Property Tax Assessment Rules,” Firm Newsletter, December 16, 2020</w:t>
      </w:r>
    </w:p>
    <w:p>
      <w:pPr>
        <w:pStyle w:val="BodyText"/>
        <w:spacing w:line="302" w:lineRule="auto" w:before="123"/>
        <w:ind w:right="476"/>
      </w:pPr>
      <w:r>
        <w:rPr>
          <w:color w:val="6E6158"/>
        </w:rPr>
        <w:t>Author, “California v. Texas – Now is the Time to Consider Filing a Protective Claim for Refund,” Firm Newsletter, July 13, 2020</w:t>
      </w:r>
    </w:p>
    <w:p>
      <w:pPr>
        <w:pStyle w:val="BodyText"/>
        <w:spacing w:before="102"/>
        <w:ind w:left="0"/>
        <w:rPr>
          <w:sz w:val="24"/>
        </w:rPr>
      </w:pPr>
    </w:p>
    <w:p>
      <w:pPr>
        <w:pStyle w:val="Heading1"/>
      </w:pPr>
      <w:r>
        <w:rPr>
          <w:color w:val="FF8100"/>
        </w:rPr>
        <w:t>PROFESSIONAL</w:t>
      </w:r>
      <w:r>
        <w:rPr>
          <w:color w:val="FF8100"/>
          <w:spacing w:val="13"/>
        </w:rPr>
        <w:t> </w:t>
      </w:r>
      <w:r>
        <w:rPr>
          <w:color w:val="FF8100"/>
        </w:rPr>
        <w:t>AND</w:t>
      </w:r>
      <w:r>
        <w:rPr>
          <w:color w:val="FF8100"/>
          <w:spacing w:val="13"/>
        </w:rPr>
        <w:t> </w:t>
      </w:r>
      <w:r>
        <w:rPr>
          <w:color w:val="FF8100"/>
        </w:rPr>
        <w:t>COMMUNITY</w:t>
      </w:r>
      <w:r>
        <w:rPr>
          <w:color w:val="FF8100"/>
          <w:spacing w:val="13"/>
        </w:rPr>
        <w:t> </w:t>
      </w:r>
      <w:r>
        <w:rPr>
          <w:color w:val="FF8100"/>
          <w:spacing w:val="-2"/>
        </w:rPr>
        <w:t>ACTIVITIES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292" w:lineRule="auto"/>
      </w:pPr>
      <w:r>
        <w:rPr>
          <w:color w:val="6E6158"/>
        </w:rPr>
        <w:t>Fellow, American College of Trusts and Estates Counsel Fellow, Tax Policy and Business Law Committees, 2018-present</w:t>
      </w:r>
    </w:p>
    <w:p>
      <w:pPr>
        <w:pStyle w:val="BodyText"/>
        <w:spacing w:line="427" w:lineRule="auto" w:before="123"/>
        <w:ind w:right="5825"/>
      </w:pPr>
      <w:r>
        <w:rPr>
          <w:color w:val="6E6158"/>
        </w:rPr>
        <w:t>Member, State Bar of Florida Member, State Bar of </w:t>
      </w:r>
      <w:r>
        <w:rPr>
          <w:color w:val="6E6158"/>
        </w:rPr>
        <w:t>California</w:t>
      </w:r>
    </w:p>
    <w:p>
      <w:pPr>
        <w:pStyle w:val="BodyText"/>
        <w:spacing w:line="422" w:lineRule="auto"/>
        <w:ind w:right="476"/>
      </w:pPr>
      <w:r>
        <w:rPr>
          <w:color w:val="6E6158"/>
        </w:rPr>
        <w:t>Vice Chair, Executive Committee of Taxation Section, State Bar of California (2004-2007)</w:t>
      </w:r>
      <w:r>
        <w:rPr>
          <w:color w:val="6E6158"/>
          <w:spacing w:val="40"/>
        </w:rPr>
        <w:t> </w:t>
      </w:r>
      <w:r>
        <w:rPr>
          <w:color w:val="6E6158"/>
        </w:rPr>
        <w:t>Advisor, Executive Committee of the Taxation Section, State Bar of California (2014 to present) Chair, Estate &amp; Gift Tax Sub-Committee, State Bar of California (multiple years since 2000) Member, American Bar Association</w:t>
      </w:r>
    </w:p>
    <w:p>
      <w:pPr>
        <w:pStyle w:val="BodyText"/>
        <w:spacing w:after="0" w:line="422" w:lineRule="auto"/>
        <w:sectPr>
          <w:pgSz w:w="12240" w:h="15840"/>
          <w:pgMar w:top="580" w:bottom="280" w:left="1440" w:right="1440"/>
        </w:sectPr>
      </w:pPr>
    </w:p>
    <w:p>
      <w:pPr>
        <w:pStyle w:val="BodyText"/>
        <w:spacing w:line="420" w:lineRule="auto" w:before="83"/>
        <w:ind w:right="4344"/>
      </w:pPr>
      <w:r>
        <w:rPr>
          <w:color w:val="6E6158"/>
        </w:rPr>
        <w:t>Member, Sacramento County Bar </w:t>
      </w:r>
      <w:r>
        <w:rPr>
          <w:color w:val="6E6158"/>
        </w:rPr>
        <w:t>Association Adjunct Professor, McGeorge School of Law</w:t>
      </w:r>
    </w:p>
    <w:p>
      <w:pPr>
        <w:pStyle w:val="Heading1"/>
        <w:spacing w:before="290"/>
      </w:pPr>
      <w:r>
        <w:rPr>
          <w:color w:val="FF8100"/>
          <w:spacing w:val="-2"/>
        </w:rPr>
        <w:t>ADMISSIONS</w:t>
      </w:r>
    </w:p>
    <w:p>
      <w:pPr>
        <w:pStyle w:val="BodyText"/>
        <w:spacing w:before="28"/>
        <w:ind w:left="0"/>
        <w:rPr>
          <w:b/>
        </w:rPr>
      </w:pPr>
    </w:p>
    <w:p>
      <w:pPr>
        <w:pStyle w:val="BodyText"/>
        <w:spacing w:line="420" w:lineRule="auto"/>
        <w:ind w:right="7820"/>
      </w:pPr>
      <w:r>
        <w:rPr>
          <w:color w:val="6E6158"/>
          <w:spacing w:val="-2"/>
        </w:rPr>
        <w:t>California Florida</w:t>
      </w:r>
    </w:p>
    <w:p>
      <w:pPr>
        <w:pStyle w:val="BodyText"/>
        <w:spacing w:line="231" w:lineRule="exact"/>
      </w:pPr>
      <w:r>
        <w:rPr>
          <w:color w:val="6E6158"/>
        </w:rPr>
        <w:t>U.S.</w:t>
      </w:r>
      <w:r>
        <w:rPr>
          <w:color w:val="6E6158"/>
          <w:spacing w:val="11"/>
        </w:rPr>
        <w:t> </w:t>
      </w:r>
      <w:r>
        <w:rPr>
          <w:color w:val="6E6158"/>
        </w:rPr>
        <w:t>Supreme</w:t>
      </w:r>
      <w:r>
        <w:rPr>
          <w:color w:val="6E6158"/>
          <w:spacing w:val="12"/>
        </w:rPr>
        <w:t> </w:t>
      </w:r>
      <w:r>
        <w:rPr>
          <w:color w:val="6E6158"/>
          <w:spacing w:val="-2"/>
        </w:rPr>
        <w:t>Court</w:t>
      </w:r>
    </w:p>
    <w:p>
      <w:pPr>
        <w:pStyle w:val="BodyText"/>
        <w:spacing w:before="174"/>
      </w:pPr>
      <w:r>
        <w:rPr>
          <w:color w:val="6E6158"/>
        </w:rPr>
        <w:t>U.S.</w:t>
      </w:r>
      <w:r>
        <w:rPr>
          <w:color w:val="6E6158"/>
          <w:spacing w:val="1"/>
        </w:rPr>
        <w:t> </w:t>
      </w:r>
      <w:r>
        <w:rPr>
          <w:color w:val="6E6158"/>
        </w:rPr>
        <w:t>Tax</w:t>
      </w:r>
      <w:r>
        <w:rPr>
          <w:color w:val="6E6158"/>
          <w:spacing w:val="2"/>
        </w:rPr>
        <w:t> </w:t>
      </w:r>
      <w:r>
        <w:rPr>
          <w:color w:val="6E6158"/>
          <w:spacing w:val="-2"/>
        </w:rPr>
        <w:t>Court</w:t>
      </w:r>
    </w:p>
    <w:sectPr>
      <w:pgSz w:w="12240" w:h="15840"/>
      <w:pgMar w:top="500" w:bottom="280" w:left="144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entury Gothic">
    <w:altName w:val="Century Gothic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entury Gothic" w:hAnsi="Century Gothic" w:eastAsia="Century Gothic" w:cs="Century Gothic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99"/>
    </w:pPr>
    <w:rPr>
      <w:rFonts w:ascii="Century Gothic" w:hAnsi="Century Gothic" w:eastAsia="Century Gothic" w:cs="Century Gothic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99"/>
      <w:outlineLvl w:val="1"/>
    </w:pPr>
    <w:rPr>
      <w:rFonts w:ascii="Century Gothic" w:hAnsi="Century Gothic" w:eastAsia="Century Gothic" w:cs="Century Gothic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s://www.fennemorelaw.com/" TargetMode="External"/><Relationship Id="rId7" Type="http://schemas.openxmlformats.org/officeDocument/2006/relationships/image" Target="media/image2.jpeg"/><Relationship Id="rId8" Type="http://schemas.openxmlformats.org/officeDocument/2006/relationships/hyperlink" Target="https://www.fennemorelaw.com/services/trusts-estates/" TargetMode="External"/><Relationship Id="rId9" Type="http://schemas.openxmlformats.org/officeDocument/2006/relationships/hyperlink" Target="https://www.fennemorelaw.com/contact-us/sacramento/" TargetMode="External"/><Relationship Id="rId10" Type="http://schemas.openxmlformats.org/officeDocument/2006/relationships/hyperlink" Target="mailto:rklomparens@fennemorelaw.com" TargetMode="External"/><Relationship Id="rId11" Type="http://schemas.openxmlformats.org/officeDocument/2006/relationships/hyperlink" Target="https://www.fennemorelaw.com/fennemores-tax-mergers-and-acquisitions-and-real-estate-analysis-of-the-rescheduling-of-medical-marijuana/" TargetMode="External"/><Relationship Id="rId12" Type="http://schemas.openxmlformats.org/officeDocument/2006/relationships/hyperlink" Target="https://news.miami.edu/law/stories/2026/04/mastering-the-tax-code-robin-l-klomparens.html" TargetMode="External"/><Relationship Id="rId13" Type="http://schemas.openxmlformats.org/officeDocument/2006/relationships/hyperlink" Target="https://calawyers.org/2025-annual-meeting-of-the-tax-bar-and-tax-policy-conference/schedule/" TargetMode="External"/><Relationship Id="rId14" Type="http://schemas.openxmlformats.org/officeDocument/2006/relationships/hyperlink" Target="https://www.fennemorelaw.com/preparing-for-tax-evolution-what-changes-to-the-tax-cuts-and-jobs-act-means-for-businesses-and-individuals-in-2025/" TargetMode="External"/><Relationship Id="rId15" Type="http://schemas.openxmlformats.org/officeDocument/2006/relationships/hyperlink" Target="https://www.bizjournals.com/sacramento/news/2024/08/07/navigate-estate-planning-economic-climate.html" TargetMode="External"/><Relationship Id="rId16" Type="http://schemas.openxmlformats.org/officeDocument/2006/relationships/hyperlink" Target="https://www.fennemorelaw.com/the-future-of-filing-taxes-explained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Robin L. Klomparens - Fennemore</dc:title>
  <dcterms:created xsi:type="dcterms:W3CDTF">2026-09-03T23:19:03Z</dcterms:created>
  <dcterms:modified xsi:type="dcterms:W3CDTF">2026-09-03T23:19:03Z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v10.0.20182.1</vt:lpwstr>
  </property>
  <property fmtid="{D5CDD505-2E9C-101B-9397-08002B2CF9AE}" pid="3" name="Created">
    <vt:filetime>2026-09-03T00:00:00Z</vt:filetime>
  </property>
  <property fmtid="{D5CDD505-2E9C-101B-9397-08002B2CF9AE}" pid="4" name="Creator">
    <vt:lpwstr>Mozilla/5.0 (X11; Linux x86_64) AppleWebKit/537.36 (KHTML, like Gecko) HeadlessChrome/151.0.0.0 Safari/537.36</vt:lpwstr>
  </property>
  <property fmtid="{D5CDD505-2E9C-101B-9397-08002B2CF9AE}" pid="5" name="LastSaved">
    <vt:filetime>2026-09-03T00:00:00Z</vt:filetime>
  </property>
  <property fmtid="{D5CDD505-2E9C-101B-9397-08002B2CF9AE}" pid="6" name="Producer">
    <vt:lpwstr>Skia/PDF m151</vt:lpwstr>
  </property>
</Properties>
</file>