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spacing w:before="116"/>
        <w:rPr>
          <w:rFonts w:ascii="Times New Roman"/>
          <w:sz w:val="24"/>
        </w:rPr>
      </w:pPr>
    </w:p>
    <w:p>
      <w:pPr>
        <w:pStyle w:val="Heading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848486</wp:posOffset>
                </wp:positionH>
                <wp:positionV relativeFrom="paragraph">
                  <wp:posOffset>-3231247</wp:posOffset>
                </wp:positionV>
                <wp:extent cx="6071870" cy="3162935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6071870" cy="3162935"/>
                          <a:chExt cx="6071870" cy="3162935"/>
                        </a:xfrm>
                      </wpg:grpSpPr>
                      <pic:pic>
                        <pic:nvPicPr>
                          <pic:cNvPr id="2" name="Image 2" descr="Fennemore">
                            <a:hlinkClick r:id="rId6"/>
                          </pic:cNvPr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4505" cy="2687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 descr="Sabrina Hernandez bio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68700"/>
                            <a:ext cx="3038379" cy="289369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3038379" y="268700"/>
                            <a:ext cx="3033395" cy="28936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33395" h="2893695">
                                <a:moveTo>
                                  <a:pt x="3033212" y="2893694"/>
                                </a:moveTo>
                                <a:lnTo>
                                  <a:pt x="0" y="2893694"/>
                                </a:lnTo>
                                <a:lnTo>
                                  <a:pt x="0" y="0"/>
                                </a:lnTo>
                                <a:lnTo>
                                  <a:pt x="3033212" y="0"/>
                                </a:lnTo>
                                <a:lnTo>
                                  <a:pt x="3033212" y="28936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6242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3493097" y="1643214"/>
                            <a:ext cx="2118995" cy="320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8995" h="320675">
                                <a:moveTo>
                                  <a:pt x="2118601" y="315201"/>
                                </a:moveTo>
                                <a:lnTo>
                                  <a:pt x="0" y="315201"/>
                                </a:lnTo>
                                <a:lnTo>
                                  <a:pt x="0" y="320370"/>
                                </a:lnTo>
                                <a:lnTo>
                                  <a:pt x="2118601" y="320370"/>
                                </a:lnTo>
                                <a:lnTo>
                                  <a:pt x="2118601" y="315201"/>
                                </a:lnTo>
                                <a:close/>
                              </a:path>
                              <a:path w="2118995" h="320675">
                                <a:moveTo>
                                  <a:pt x="211860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168"/>
                                </a:lnTo>
                                <a:lnTo>
                                  <a:pt x="2118601" y="5168"/>
                                </a:lnTo>
                                <a:lnTo>
                                  <a:pt x="21186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3833661" y="763308"/>
                            <a:ext cx="1452880" cy="10991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16" w:lineRule="auto" w:before="40"/>
                                <w:ind w:left="0" w:right="0" w:firstLine="328"/>
                                <w:jc w:val="left"/>
                                <w:rPr>
                                  <w:sz w:val="39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sz w:val="39"/>
                                </w:rPr>
                                <w:t>SABRINA HERNANDEZ</w:t>
                              </w:r>
                            </w:p>
                            <w:p>
                              <w:pPr>
                                <w:spacing w:before="48"/>
                                <w:ind w:left="0" w:right="18" w:firstLine="0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sz w:val="24"/>
                                </w:rPr>
                                <w:t>Associate</w:t>
                              </w:r>
                            </w:p>
                            <w:p>
                              <w:pPr>
                                <w:spacing w:before="291"/>
                                <w:ind w:left="0" w:right="18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8"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Business</w:t>
                                </w:r>
                                <w:r>
                                  <w:rPr>
                                    <w:color w:val="FFFFFF"/>
                                    <w:spacing w:val="6"/>
                                    <w:sz w:val="16"/>
                                  </w:rPr>
                                  <w:t> </w:t>
                                </w:r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Litigation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4295812" y="2133494"/>
                            <a:ext cx="528955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hyperlink r:id="rId9"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San</w:t>
                                </w:r>
                                <w:r>
                                  <w:rPr>
                                    <w:color w:val="FFFFFF"/>
                                    <w:spacing w:val="2"/>
                                    <w:sz w:val="16"/>
                                  </w:rPr>
                                  <w:t> </w:t>
                                </w:r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Diego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3582320" y="2293650"/>
                            <a:ext cx="798830" cy="1333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FFFFFF"/>
                                  <w:sz w:val="17"/>
                                </w:rPr>
                                <w:t>P: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619.595.3219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4750778" y="2293650"/>
                            <a:ext cx="787400" cy="1333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FFFFFF"/>
                                  <w:sz w:val="17"/>
                                </w:rPr>
                                <w:t>F: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619.231.4372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3721514" y="2500373"/>
                            <a:ext cx="1677035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hyperlink r:id="rId10"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shernandez@fennemorelaw.com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6.809998pt;margin-top:-254.428909pt;width:478.1pt;height:249.05pt;mso-position-horizontal-relative:page;mso-position-vertical-relative:paragraph;z-index:15728640" id="docshapegroup1" coordorigin="1336,-5089" coordsize="9562,4981">
                <v:shape style="position:absolute;left:1336;top:-5089;width:2165;height:424" type="#_x0000_t75" id="docshape2" alt="Fennemore" href="https://www.fennemorelaw.com/" stroked="false">
                  <v:imagedata r:id="rId5" o:title=""/>
                </v:shape>
                <v:shape style="position:absolute;left:1336;top:-4666;width:4785;height:4557" type="#_x0000_t75" id="docshape3" alt="Sabrina Hernandez bio" stroked="false">
                  <v:imagedata r:id="rId7" o:title=""/>
                </v:shape>
                <v:rect style="position:absolute;left:6121;top:-4666;width:4777;height:4557" id="docshape4" filled="true" fillcolor="#262424" stroked="false">
                  <v:fill type="solid"/>
                </v:rect>
                <v:shape style="position:absolute;left:6837;top:-2501;width:3337;height:505" id="docshape5" coordorigin="6837,-2501" coordsize="3337,505" path="m10174,-2004l6837,-2004,6837,-1996,10174,-1996,10174,-2004xm10174,-2501l6837,-2501,6837,-2493,10174,-2493,10174,-2501xe" filled="true" fillcolor="#ffffff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7373;top:-3887;width:2288;height:1731" type="#_x0000_t202" id="docshape6" filled="false" stroked="false">
                  <v:textbox inset="0,0,0,0">
                    <w:txbxContent>
                      <w:p>
                        <w:pPr>
                          <w:spacing w:line="216" w:lineRule="auto" w:before="40"/>
                          <w:ind w:left="0" w:right="0" w:firstLine="328"/>
                          <w:jc w:val="left"/>
                          <w:rPr>
                            <w:sz w:val="39"/>
                          </w:rPr>
                        </w:pPr>
                        <w:r>
                          <w:rPr>
                            <w:color w:val="FFFFFF"/>
                            <w:spacing w:val="-2"/>
                            <w:sz w:val="39"/>
                          </w:rPr>
                          <w:t>SABRINA HERNANDEZ</w:t>
                        </w:r>
                      </w:p>
                      <w:p>
                        <w:pPr>
                          <w:spacing w:before="48"/>
                          <w:ind w:left="0" w:right="18" w:firstLine="0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color w:val="FFFFFF"/>
                            <w:spacing w:val="-2"/>
                            <w:sz w:val="24"/>
                          </w:rPr>
                          <w:t>Associate</w:t>
                        </w:r>
                      </w:p>
                      <w:p>
                        <w:pPr>
                          <w:spacing w:before="291"/>
                          <w:ind w:left="0" w:right="18" w:firstLine="0"/>
                          <w:jc w:val="center"/>
                          <w:rPr>
                            <w:sz w:val="16"/>
                          </w:rPr>
                        </w:pPr>
                        <w:hyperlink r:id="rId8">
                          <w:r>
                            <w:rPr>
                              <w:color w:val="FFFFFF"/>
                              <w:sz w:val="16"/>
                            </w:rPr>
                            <w:t>Business</w:t>
                          </w:r>
                          <w:r>
                            <w:rPr>
                              <w:color w:val="FFFFFF"/>
                              <w:spacing w:val="6"/>
                              <w:sz w:val="16"/>
                            </w:rPr>
                            <w:t> </w:t>
                          </w:r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Litigation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8101;top:-1729;width:833;height:200" type="#_x0000_t202" id="docshape7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hyperlink r:id="rId9">
                          <w:r>
                            <w:rPr>
                              <w:color w:val="FFFFFF"/>
                              <w:sz w:val="16"/>
                            </w:rPr>
                            <w:t>San</w:t>
                          </w:r>
                          <w:r>
                            <w:rPr>
                              <w:color w:val="FFFFFF"/>
                              <w:spacing w:val="2"/>
                              <w:sz w:val="16"/>
                            </w:rPr>
                            <w:t> </w:t>
                          </w:r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Diego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6977;top:-1477;width:1258;height:210" type="#_x0000_t202" id="docshape8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color w:val="FFFFFF"/>
                            <w:sz w:val="17"/>
                          </w:rPr>
                          <w:t>P: 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619.595.3219</w:t>
                        </w:r>
                      </w:p>
                    </w:txbxContent>
                  </v:textbox>
                  <w10:wrap type="none"/>
                </v:shape>
                <v:shape style="position:absolute;left:8817;top:-1477;width:1240;height:210" type="#_x0000_t202" id="docshape9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color w:val="FFFFFF"/>
                            <w:sz w:val="17"/>
                          </w:rPr>
                          <w:t>F: 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619.231.4372</w:t>
                        </w:r>
                      </w:p>
                    </w:txbxContent>
                  </v:textbox>
                  <w10:wrap type="none"/>
                </v:shape>
                <v:shape style="position:absolute;left:7196;top:-1151;width:2641;height:200" type="#_x0000_t202" id="docshape10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hyperlink r:id="rId10"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shernandez@fennemorelaw.com</w:t>
                          </w:r>
                        </w:hyperlink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FF8100"/>
        </w:rPr>
        <w:t>SABRINA</w:t>
      </w:r>
      <w:r>
        <w:rPr>
          <w:color w:val="FF8100"/>
          <w:spacing w:val="11"/>
        </w:rPr>
        <w:t> </w:t>
      </w:r>
      <w:r>
        <w:rPr>
          <w:color w:val="FF8100"/>
          <w:spacing w:val="-2"/>
        </w:rPr>
        <w:t>HERNANDEZ</w:t>
      </w:r>
    </w:p>
    <w:p>
      <w:pPr>
        <w:pStyle w:val="BodyText"/>
        <w:spacing w:line="297" w:lineRule="auto" w:before="146"/>
        <w:ind w:left="99" w:right="60"/>
      </w:pPr>
      <w:r>
        <w:rPr>
          <w:color w:val="6E6158"/>
        </w:rPr>
        <w:t>Sabrina Hernandez is an associate attorney in Fennemore’s business litigation group. She </w:t>
      </w:r>
      <w:r>
        <w:rPr>
          <w:color w:val="6E6158"/>
        </w:rPr>
        <w:t>helps</w:t>
      </w:r>
      <w:r>
        <w:rPr>
          <w:color w:val="6E6158"/>
          <w:spacing w:val="40"/>
        </w:rPr>
        <w:t> </w:t>
      </w:r>
      <w:r>
        <w:rPr>
          <w:color w:val="6E6158"/>
        </w:rPr>
        <w:t>clients with commercial disputes, contract and construction law, insurance defense, and trust</w:t>
      </w:r>
      <w:r>
        <w:rPr>
          <w:color w:val="6E6158"/>
          <w:spacing w:val="40"/>
        </w:rPr>
        <w:t> </w:t>
      </w:r>
      <w:r>
        <w:rPr>
          <w:color w:val="6E6158"/>
        </w:rPr>
        <w:t>litigation matters.</w:t>
      </w:r>
    </w:p>
    <w:p>
      <w:pPr>
        <w:pStyle w:val="BodyText"/>
        <w:spacing w:line="292" w:lineRule="auto" w:before="192"/>
        <w:ind w:left="99"/>
      </w:pPr>
      <w:r>
        <w:rPr>
          <w:color w:val="6E6158"/>
        </w:rPr>
        <w:t>Sabrina has extensive experience drafting and arguing dispositive motions, including </w:t>
      </w:r>
      <w:r>
        <w:rPr>
          <w:color w:val="6E6158"/>
        </w:rPr>
        <w:t>summary</w:t>
      </w:r>
      <w:r>
        <w:rPr>
          <w:color w:val="6E6158"/>
          <w:spacing w:val="40"/>
        </w:rPr>
        <w:t> </w:t>
      </w:r>
      <w:r>
        <w:rPr>
          <w:color w:val="6E6158"/>
        </w:rPr>
        <w:t>judgment</w:t>
      </w:r>
      <w:r>
        <w:rPr>
          <w:color w:val="6E6158"/>
          <w:spacing w:val="25"/>
        </w:rPr>
        <w:t> </w:t>
      </w:r>
      <w:r>
        <w:rPr>
          <w:color w:val="6E6158"/>
        </w:rPr>
        <w:t>and</w:t>
      </w:r>
      <w:r>
        <w:rPr>
          <w:color w:val="6E6158"/>
          <w:spacing w:val="25"/>
        </w:rPr>
        <w:t> </w:t>
      </w:r>
      <w:r>
        <w:rPr>
          <w:color w:val="6E6158"/>
        </w:rPr>
        <w:t>motions</w:t>
      </w:r>
      <w:r>
        <w:rPr>
          <w:color w:val="6E6158"/>
          <w:spacing w:val="25"/>
        </w:rPr>
        <w:t> </w:t>
      </w:r>
      <w:r>
        <w:rPr>
          <w:color w:val="6E6158"/>
        </w:rPr>
        <w:t>to</w:t>
      </w:r>
      <w:r>
        <w:rPr>
          <w:color w:val="6E6158"/>
          <w:spacing w:val="25"/>
        </w:rPr>
        <w:t> </w:t>
      </w:r>
      <w:r>
        <w:rPr>
          <w:color w:val="6E6158"/>
        </w:rPr>
        <w:t>dismiss,</w:t>
      </w:r>
      <w:r>
        <w:rPr>
          <w:color w:val="6E6158"/>
          <w:spacing w:val="25"/>
        </w:rPr>
        <w:t> </w:t>
      </w:r>
      <w:r>
        <w:rPr>
          <w:color w:val="6E6158"/>
        </w:rPr>
        <w:t>and</w:t>
      </w:r>
      <w:r>
        <w:rPr>
          <w:color w:val="6E6158"/>
          <w:spacing w:val="25"/>
        </w:rPr>
        <w:t> </w:t>
      </w:r>
      <w:r>
        <w:rPr>
          <w:color w:val="6E6158"/>
        </w:rPr>
        <w:t>has</w:t>
      </w:r>
      <w:r>
        <w:rPr>
          <w:color w:val="6E6158"/>
          <w:spacing w:val="25"/>
        </w:rPr>
        <w:t> </w:t>
      </w:r>
      <w:r>
        <w:rPr>
          <w:color w:val="6E6158"/>
        </w:rPr>
        <w:t>also</w:t>
      </w:r>
      <w:r>
        <w:rPr>
          <w:color w:val="6E6158"/>
          <w:spacing w:val="25"/>
        </w:rPr>
        <w:t> </w:t>
      </w:r>
      <w:r>
        <w:rPr>
          <w:color w:val="6E6158"/>
        </w:rPr>
        <w:t>served</w:t>
      </w:r>
      <w:r>
        <w:rPr>
          <w:color w:val="6E6158"/>
          <w:spacing w:val="25"/>
        </w:rPr>
        <w:t> </w:t>
      </w:r>
      <w:r>
        <w:rPr>
          <w:color w:val="6E6158"/>
        </w:rPr>
        <w:t>as</w:t>
      </w:r>
      <w:r>
        <w:rPr>
          <w:color w:val="6E6158"/>
          <w:spacing w:val="25"/>
        </w:rPr>
        <w:t> </w:t>
      </w:r>
      <w:r>
        <w:rPr>
          <w:color w:val="6E6158"/>
        </w:rPr>
        <w:t>lead</w:t>
      </w:r>
      <w:r>
        <w:rPr>
          <w:color w:val="6E6158"/>
          <w:spacing w:val="25"/>
        </w:rPr>
        <w:t> </w:t>
      </w:r>
      <w:r>
        <w:rPr>
          <w:color w:val="6E6158"/>
        </w:rPr>
        <w:t>counsel</w:t>
      </w:r>
      <w:r>
        <w:rPr>
          <w:color w:val="6E6158"/>
          <w:spacing w:val="25"/>
        </w:rPr>
        <w:t> </w:t>
      </w:r>
      <w:r>
        <w:rPr>
          <w:color w:val="6E6158"/>
        </w:rPr>
        <w:t>in</w:t>
      </w:r>
      <w:r>
        <w:rPr>
          <w:color w:val="6E6158"/>
          <w:spacing w:val="25"/>
        </w:rPr>
        <w:t> </w:t>
      </w:r>
      <w:r>
        <w:rPr>
          <w:color w:val="6E6158"/>
        </w:rPr>
        <w:t>jury</w:t>
      </w:r>
      <w:r>
        <w:rPr>
          <w:color w:val="6E6158"/>
          <w:spacing w:val="25"/>
        </w:rPr>
        <w:t> </w:t>
      </w:r>
      <w:r>
        <w:rPr>
          <w:color w:val="6E6158"/>
        </w:rPr>
        <w:t>trials</w:t>
      </w:r>
      <w:r>
        <w:rPr>
          <w:color w:val="6E6158"/>
          <w:spacing w:val="25"/>
        </w:rPr>
        <w:t> </w:t>
      </w:r>
      <w:r>
        <w:rPr>
          <w:color w:val="6E6158"/>
        </w:rPr>
        <w:t>involving</w:t>
      </w:r>
    </w:p>
    <w:p>
      <w:pPr>
        <w:pStyle w:val="BodyText"/>
        <w:spacing w:line="292" w:lineRule="auto" w:before="9"/>
        <w:ind w:left="99" w:right="60"/>
      </w:pPr>
      <w:r>
        <w:rPr>
          <w:color w:val="6E6158"/>
        </w:rPr>
        <w:t>personal</w:t>
      </w:r>
      <w:r>
        <w:rPr>
          <w:color w:val="6E6158"/>
          <w:spacing w:val="14"/>
        </w:rPr>
        <w:t> </w:t>
      </w:r>
      <w:r>
        <w:rPr>
          <w:color w:val="6E6158"/>
        </w:rPr>
        <w:t>injury</w:t>
      </w:r>
      <w:r>
        <w:rPr>
          <w:color w:val="6E6158"/>
          <w:spacing w:val="14"/>
        </w:rPr>
        <w:t> </w:t>
      </w:r>
      <w:r>
        <w:rPr>
          <w:color w:val="6E6158"/>
        </w:rPr>
        <w:t>and</w:t>
      </w:r>
      <w:r>
        <w:rPr>
          <w:color w:val="6E6158"/>
          <w:spacing w:val="14"/>
        </w:rPr>
        <w:t> </w:t>
      </w:r>
      <w:r>
        <w:rPr>
          <w:color w:val="6E6158"/>
        </w:rPr>
        <w:t>property</w:t>
      </w:r>
      <w:r>
        <w:rPr>
          <w:color w:val="6E6158"/>
          <w:spacing w:val="14"/>
        </w:rPr>
        <w:t> </w:t>
      </w:r>
      <w:r>
        <w:rPr>
          <w:color w:val="6E6158"/>
        </w:rPr>
        <w:t>damage.</w:t>
      </w:r>
      <w:r>
        <w:rPr>
          <w:color w:val="6E6158"/>
          <w:spacing w:val="14"/>
        </w:rPr>
        <w:t> </w:t>
      </w:r>
      <w:r>
        <w:rPr>
          <w:color w:val="6E6158"/>
        </w:rPr>
        <w:t>She</w:t>
      </w:r>
      <w:r>
        <w:rPr>
          <w:color w:val="6E6158"/>
          <w:spacing w:val="14"/>
        </w:rPr>
        <w:t> </w:t>
      </w:r>
      <w:r>
        <w:rPr>
          <w:color w:val="6E6158"/>
        </w:rPr>
        <w:t>has</w:t>
      </w:r>
      <w:r>
        <w:rPr>
          <w:color w:val="6E6158"/>
          <w:spacing w:val="14"/>
        </w:rPr>
        <w:t> </w:t>
      </w:r>
      <w:r>
        <w:rPr>
          <w:color w:val="6E6158"/>
        </w:rPr>
        <w:t>handled</w:t>
      </w:r>
      <w:r>
        <w:rPr>
          <w:color w:val="6E6158"/>
          <w:spacing w:val="14"/>
        </w:rPr>
        <w:t> </w:t>
      </w:r>
      <w:r>
        <w:rPr>
          <w:color w:val="6E6158"/>
        </w:rPr>
        <w:t>over</w:t>
      </w:r>
      <w:r>
        <w:rPr>
          <w:color w:val="6E6158"/>
          <w:spacing w:val="14"/>
        </w:rPr>
        <w:t> </w:t>
      </w:r>
      <w:r>
        <w:rPr>
          <w:color w:val="6E6158"/>
        </w:rPr>
        <w:t>50</w:t>
      </w:r>
      <w:r>
        <w:rPr>
          <w:color w:val="6E6158"/>
          <w:spacing w:val="14"/>
        </w:rPr>
        <w:t> </w:t>
      </w:r>
      <w:r>
        <w:rPr>
          <w:color w:val="6E6158"/>
        </w:rPr>
        <w:t>depositions</w:t>
      </w:r>
      <w:r>
        <w:rPr>
          <w:color w:val="6E6158"/>
          <w:spacing w:val="14"/>
        </w:rPr>
        <w:t> </w:t>
      </w:r>
      <w:r>
        <w:rPr>
          <w:color w:val="6E6158"/>
        </w:rPr>
        <w:t>and</w:t>
      </w:r>
      <w:r>
        <w:rPr>
          <w:color w:val="6E6158"/>
          <w:spacing w:val="14"/>
        </w:rPr>
        <w:t> </w:t>
      </w:r>
      <w:r>
        <w:rPr>
          <w:color w:val="6E6158"/>
        </w:rPr>
        <w:t>played</w:t>
      </w:r>
      <w:r>
        <w:rPr>
          <w:color w:val="6E6158"/>
          <w:spacing w:val="14"/>
        </w:rPr>
        <w:t> </w:t>
      </w:r>
      <w:r>
        <w:rPr>
          <w:color w:val="6E6158"/>
        </w:rPr>
        <w:t>key</w:t>
      </w:r>
      <w:r>
        <w:rPr>
          <w:color w:val="6E6158"/>
          <w:spacing w:val="14"/>
        </w:rPr>
        <w:t> </w:t>
      </w:r>
      <w:r>
        <w:rPr>
          <w:color w:val="6E6158"/>
        </w:rPr>
        <w:t>roles in both state and federal court trials, as well as arbitrations and mediations.</w:t>
      </w:r>
    </w:p>
    <w:p>
      <w:pPr>
        <w:pStyle w:val="BodyText"/>
        <w:spacing w:line="292" w:lineRule="auto" w:before="197"/>
        <w:ind w:left="99" w:right="154"/>
      </w:pPr>
      <w:r>
        <w:rPr>
          <w:color w:val="6E6158"/>
        </w:rPr>
        <w:t>Sabrina</w:t>
      </w:r>
      <w:r>
        <w:rPr>
          <w:color w:val="6E6158"/>
          <w:spacing w:val="13"/>
        </w:rPr>
        <w:t> </w:t>
      </w:r>
      <w:r>
        <w:rPr>
          <w:color w:val="6E6158"/>
        </w:rPr>
        <w:t>earned</w:t>
      </w:r>
      <w:r>
        <w:rPr>
          <w:color w:val="6E6158"/>
          <w:spacing w:val="13"/>
        </w:rPr>
        <w:t> </w:t>
      </w:r>
      <w:r>
        <w:rPr>
          <w:color w:val="6E6158"/>
        </w:rPr>
        <w:t>her</w:t>
      </w:r>
      <w:r>
        <w:rPr>
          <w:color w:val="6E6158"/>
          <w:spacing w:val="13"/>
        </w:rPr>
        <w:t> </w:t>
      </w:r>
      <w:r>
        <w:rPr>
          <w:color w:val="6E6158"/>
        </w:rPr>
        <w:t>law</w:t>
      </w:r>
      <w:r>
        <w:rPr>
          <w:color w:val="6E6158"/>
          <w:spacing w:val="13"/>
        </w:rPr>
        <w:t> </w:t>
      </w:r>
      <w:r>
        <w:rPr>
          <w:color w:val="6E6158"/>
        </w:rPr>
        <w:t>degree</w:t>
      </w:r>
      <w:r>
        <w:rPr>
          <w:color w:val="6E6158"/>
          <w:spacing w:val="13"/>
        </w:rPr>
        <w:t> </w:t>
      </w:r>
      <w:r>
        <w:rPr>
          <w:color w:val="6E6158"/>
        </w:rPr>
        <w:t>from</w:t>
      </w:r>
      <w:r>
        <w:rPr>
          <w:color w:val="6E6158"/>
          <w:spacing w:val="13"/>
        </w:rPr>
        <w:t> </w:t>
      </w:r>
      <w:r>
        <w:rPr>
          <w:color w:val="6E6158"/>
        </w:rPr>
        <w:t>the</w:t>
      </w:r>
      <w:r>
        <w:rPr>
          <w:color w:val="6E6158"/>
          <w:spacing w:val="13"/>
        </w:rPr>
        <w:t> </w:t>
      </w:r>
      <w:r>
        <w:rPr>
          <w:color w:val="6E6158"/>
        </w:rPr>
        <w:t>University</w:t>
      </w:r>
      <w:r>
        <w:rPr>
          <w:color w:val="6E6158"/>
          <w:spacing w:val="13"/>
        </w:rPr>
        <w:t> </w:t>
      </w:r>
      <w:r>
        <w:rPr>
          <w:color w:val="6E6158"/>
        </w:rPr>
        <w:t>of</w:t>
      </w:r>
      <w:r>
        <w:rPr>
          <w:color w:val="6E6158"/>
          <w:spacing w:val="13"/>
        </w:rPr>
        <w:t> </w:t>
      </w:r>
      <w:r>
        <w:rPr>
          <w:color w:val="6E6158"/>
        </w:rPr>
        <w:t>New</w:t>
      </w:r>
      <w:r>
        <w:rPr>
          <w:color w:val="6E6158"/>
          <w:spacing w:val="13"/>
        </w:rPr>
        <w:t> </w:t>
      </w:r>
      <w:r>
        <w:rPr>
          <w:color w:val="6E6158"/>
        </w:rPr>
        <w:t>Mexico</w:t>
      </w:r>
      <w:r>
        <w:rPr>
          <w:color w:val="6E6158"/>
          <w:spacing w:val="13"/>
        </w:rPr>
        <w:t> </w:t>
      </w:r>
      <w:r>
        <w:rPr>
          <w:color w:val="6E6158"/>
        </w:rPr>
        <w:t>School</w:t>
      </w:r>
      <w:r>
        <w:rPr>
          <w:color w:val="6E6158"/>
          <w:spacing w:val="13"/>
        </w:rPr>
        <w:t> </w:t>
      </w:r>
      <w:r>
        <w:rPr>
          <w:color w:val="6E6158"/>
        </w:rPr>
        <w:t>of</w:t>
      </w:r>
      <w:r>
        <w:rPr>
          <w:color w:val="6E6158"/>
          <w:spacing w:val="13"/>
        </w:rPr>
        <w:t> </w:t>
      </w:r>
      <w:r>
        <w:rPr>
          <w:color w:val="6E6158"/>
        </w:rPr>
        <w:t>Law,</w:t>
      </w:r>
      <w:r>
        <w:rPr>
          <w:color w:val="6E6158"/>
          <w:spacing w:val="13"/>
        </w:rPr>
        <w:t> </w:t>
      </w:r>
      <w:r>
        <w:rPr>
          <w:color w:val="6E6158"/>
        </w:rPr>
        <w:t>where</w:t>
      </w:r>
      <w:r>
        <w:rPr>
          <w:color w:val="6E6158"/>
          <w:spacing w:val="13"/>
        </w:rPr>
        <w:t> </w:t>
      </w:r>
      <w:r>
        <w:rPr>
          <w:color w:val="6E6158"/>
        </w:rPr>
        <w:t>she</w:t>
      </w:r>
      <w:r>
        <w:rPr>
          <w:color w:val="6E6158"/>
          <w:spacing w:val="13"/>
        </w:rPr>
        <w:t> </w:t>
      </w:r>
      <w:r>
        <w:rPr>
          <w:color w:val="6E6158"/>
        </w:rPr>
        <w:t>was a Manuscript Editor for the </w:t>
      </w:r>
      <w:r>
        <w:rPr>
          <w:i/>
          <w:color w:val="6E6158"/>
          <w:sz w:val="20"/>
        </w:rPr>
        <w:t>New Mexico Law Review </w:t>
      </w:r>
      <w:r>
        <w:rPr>
          <w:color w:val="6E6158"/>
        </w:rPr>
        <w:t>and an active member of the Mexican American</w:t>
      </w:r>
      <w:r>
        <w:rPr>
          <w:color w:val="6E6158"/>
          <w:spacing w:val="19"/>
        </w:rPr>
        <w:t> </w:t>
      </w:r>
      <w:r>
        <w:rPr>
          <w:color w:val="6E6158"/>
        </w:rPr>
        <w:t>Law</w:t>
      </w:r>
      <w:r>
        <w:rPr>
          <w:color w:val="6E6158"/>
          <w:spacing w:val="19"/>
        </w:rPr>
        <w:t> </w:t>
      </w:r>
      <w:r>
        <w:rPr>
          <w:color w:val="6E6158"/>
        </w:rPr>
        <w:t>Student</w:t>
      </w:r>
      <w:r>
        <w:rPr>
          <w:color w:val="6E6158"/>
          <w:spacing w:val="19"/>
        </w:rPr>
        <w:t> </w:t>
      </w:r>
      <w:r>
        <w:rPr>
          <w:color w:val="6E6158"/>
        </w:rPr>
        <w:t>Association.</w:t>
      </w:r>
      <w:r>
        <w:rPr>
          <w:color w:val="6E6158"/>
          <w:spacing w:val="19"/>
        </w:rPr>
        <w:t> </w:t>
      </w:r>
      <w:r>
        <w:rPr>
          <w:color w:val="6E6158"/>
        </w:rPr>
        <w:t>During</w:t>
      </w:r>
      <w:r>
        <w:rPr>
          <w:color w:val="6E6158"/>
          <w:spacing w:val="19"/>
        </w:rPr>
        <w:t> </w:t>
      </w:r>
      <w:r>
        <w:rPr>
          <w:color w:val="6E6158"/>
        </w:rPr>
        <w:t>law</w:t>
      </w:r>
      <w:r>
        <w:rPr>
          <w:color w:val="6E6158"/>
          <w:spacing w:val="19"/>
        </w:rPr>
        <w:t> </w:t>
      </w:r>
      <w:r>
        <w:rPr>
          <w:color w:val="6E6158"/>
        </w:rPr>
        <w:t>school,</w:t>
      </w:r>
      <w:r>
        <w:rPr>
          <w:color w:val="6E6158"/>
          <w:spacing w:val="19"/>
        </w:rPr>
        <w:t> </w:t>
      </w:r>
      <w:r>
        <w:rPr>
          <w:color w:val="6E6158"/>
        </w:rPr>
        <w:t>she</w:t>
      </w:r>
      <w:r>
        <w:rPr>
          <w:color w:val="6E6158"/>
          <w:spacing w:val="19"/>
        </w:rPr>
        <w:t> </w:t>
      </w:r>
      <w:r>
        <w:rPr>
          <w:color w:val="6E6158"/>
        </w:rPr>
        <w:t>interned</w:t>
      </w:r>
      <w:r>
        <w:rPr>
          <w:color w:val="6E6158"/>
          <w:spacing w:val="19"/>
        </w:rPr>
        <w:t> </w:t>
      </w:r>
      <w:r>
        <w:rPr>
          <w:color w:val="6E6158"/>
        </w:rPr>
        <w:t>with</w:t>
      </w:r>
      <w:r>
        <w:rPr>
          <w:color w:val="6E6158"/>
          <w:spacing w:val="19"/>
        </w:rPr>
        <w:t> </w:t>
      </w:r>
      <w:r>
        <w:rPr>
          <w:color w:val="6E6158"/>
        </w:rPr>
        <w:t>Judge</w:t>
      </w:r>
      <w:r>
        <w:rPr>
          <w:color w:val="6E6158"/>
          <w:spacing w:val="19"/>
        </w:rPr>
        <w:t> </w:t>
      </w:r>
      <w:r>
        <w:rPr>
          <w:color w:val="6E6158"/>
        </w:rPr>
        <w:t>Jimmie</w:t>
      </w:r>
      <w:r>
        <w:rPr>
          <w:color w:val="6E6158"/>
          <w:spacing w:val="19"/>
        </w:rPr>
        <w:t> </w:t>
      </w:r>
      <w:r>
        <w:rPr>
          <w:color w:val="6E6158"/>
        </w:rPr>
        <w:t>V.</w:t>
      </w:r>
      <w:r>
        <w:rPr>
          <w:color w:val="6E6158"/>
          <w:spacing w:val="19"/>
        </w:rPr>
        <w:t> </w:t>
      </w:r>
      <w:r>
        <w:rPr>
          <w:color w:val="6E6158"/>
        </w:rPr>
        <w:t>Reyna at the U.S. Court of Appeals for the Federal Circuit, gaining experience in federal appellate</w:t>
      </w:r>
      <w:r>
        <w:rPr>
          <w:color w:val="6E6158"/>
          <w:spacing w:val="40"/>
        </w:rPr>
        <w:t> </w:t>
      </w:r>
      <w:r>
        <w:rPr>
          <w:color w:val="6E6158"/>
        </w:rPr>
        <w:t>matters involving patent law and international trade.</w:t>
      </w:r>
    </w:p>
    <w:p>
      <w:pPr>
        <w:pStyle w:val="BodyText"/>
        <w:spacing w:line="302" w:lineRule="auto" w:before="191"/>
        <w:ind w:left="99"/>
      </w:pPr>
      <w:r>
        <w:rPr>
          <w:color w:val="6E6158"/>
        </w:rPr>
        <w:t>Sabrina speaks Spanish and brings a global perspective to her work, having studied </w:t>
      </w:r>
      <w:r>
        <w:rPr>
          <w:color w:val="6E6158"/>
        </w:rPr>
        <w:t>international</w:t>
      </w:r>
      <w:r>
        <w:rPr>
          <w:color w:val="6E6158"/>
          <w:spacing w:val="40"/>
        </w:rPr>
        <w:t> </w:t>
      </w:r>
      <w:r>
        <w:rPr>
          <w:color w:val="6E6158"/>
        </w:rPr>
        <w:t>business transactions and European Union law in Madrid.</w:t>
      </w:r>
    </w:p>
    <w:p>
      <w:pPr>
        <w:pStyle w:val="Heading1"/>
        <w:spacing w:before="152"/>
      </w:pPr>
      <w:r>
        <w:rPr>
          <w:color w:val="FF8100"/>
          <w:spacing w:val="-2"/>
        </w:rPr>
        <w:t>EDUCATION</w:t>
      </w:r>
    </w:p>
    <w:p>
      <w:pPr>
        <w:pStyle w:val="BodyText"/>
        <w:spacing w:before="17"/>
        <w:rPr>
          <w:b/>
        </w:rPr>
      </w:pPr>
    </w:p>
    <w:p>
      <w:pPr>
        <w:spacing w:before="1"/>
        <w:ind w:left="99" w:right="0" w:firstLine="0"/>
        <w:jc w:val="left"/>
        <w:rPr>
          <w:i/>
          <w:sz w:val="20"/>
        </w:rPr>
      </w:pPr>
      <w:r>
        <w:rPr>
          <w:color w:val="6E6158"/>
          <w:sz w:val="19"/>
        </w:rPr>
        <w:t>J.D.,</w:t>
      </w:r>
      <w:r>
        <w:rPr>
          <w:color w:val="6E6158"/>
          <w:spacing w:val="5"/>
          <w:sz w:val="19"/>
        </w:rPr>
        <w:t> </w:t>
      </w:r>
      <w:r>
        <w:rPr>
          <w:color w:val="6E6158"/>
          <w:sz w:val="19"/>
        </w:rPr>
        <w:t>University</w:t>
      </w:r>
      <w:r>
        <w:rPr>
          <w:color w:val="6E6158"/>
          <w:spacing w:val="5"/>
          <w:sz w:val="19"/>
        </w:rPr>
        <w:t> </w:t>
      </w:r>
      <w:r>
        <w:rPr>
          <w:color w:val="6E6158"/>
          <w:sz w:val="19"/>
        </w:rPr>
        <w:t>of</w:t>
      </w:r>
      <w:r>
        <w:rPr>
          <w:color w:val="6E6158"/>
          <w:spacing w:val="5"/>
          <w:sz w:val="19"/>
        </w:rPr>
        <w:t> </w:t>
      </w:r>
      <w:r>
        <w:rPr>
          <w:color w:val="6E6158"/>
          <w:sz w:val="19"/>
        </w:rPr>
        <w:t>New</w:t>
      </w:r>
      <w:r>
        <w:rPr>
          <w:color w:val="6E6158"/>
          <w:spacing w:val="5"/>
          <w:sz w:val="19"/>
        </w:rPr>
        <w:t> </w:t>
      </w:r>
      <w:r>
        <w:rPr>
          <w:color w:val="6E6158"/>
          <w:sz w:val="19"/>
        </w:rPr>
        <w:t>Mexico</w:t>
      </w:r>
      <w:r>
        <w:rPr>
          <w:color w:val="6E6158"/>
          <w:spacing w:val="5"/>
          <w:sz w:val="19"/>
        </w:rPr>
        <w:t> </w:t>
      </w:r>
      <w:r>
        <w:rPr>
          <w:color w:val="6E6158"/>
          <w:sz w:val="19"/>
        </w:rPr>
        <w:t>School</w:t>
      </w:r>
      <w:r>
        <w:rPr>
          <w:color w:val="6E6158"/>
          <w:spacing w:val="5"/>
          <w:sz w:val="19"/>
        </w:rPr>
        <w:t> </w:t>
      </w:r>
      <w:r>
        <w:rPr>
          <w:color w:val="6E6158"/>
          <w:sz w:val="19"/>
        </w:rPr>
        <w:t>of</w:t>
      </w:r>
      <w:r>
        <w:rPr>
          <w:color w:val="6E6158"/>
          <w:spacing w:val="5"/>
          <w:sz w:val="19"/>
        </w:rPr>
        <w:t> </w:t>
      </w:r>
      <w:r>
        <w:rPr>
          <w:color w:val="6E6158"/>
          <w:sz w:val="19"/>
        </w:rPr>
        <w:t>Law,</w:t>
      </w:r>
      <w:r>
        <w:rPr>
          <w:color w:val="6E6158"/>
          <w:spacing w:val="5"/>
          <w:sz w:val="19"/>
        </w:rPr>
        <w:t> </w:t>
      </w:r>
      <w:r>
        <w:rPr>
          <w:i/>
          <w:color w:val="6E6158"/>
          <w:sz w:val="20"/>
        </w:rPr>
        <w:t>magna</w:t>
      </w:r>
      <w:r>
        <w:rPr>
          <w:i/>
          <w:color w:val="6E6158"/>
          <w:spacing w:val="2"/>
          <w:sz w:val="20"/>
        </w:rPr>
        <w:t> </w:t>
      </w:r>
      <w:r>
        <w:rPr>
          <w:i/>
          <w:color w:val="6E6158"/>
          <w:sz w:val="20"/>
        </w:rPr>
        <w:t>cum</w:t>
      </w:r>
      <w:r>
        <w:rPr>
          <w:i/>
          <w:color w:val="6E6158"/>
          <w:spacing w:val="2"/>
          <w:sz w:val="20"/>
        </w:rPr>
        <w:t> </w:t>
      </w:r>
      <w:r>
        <w:rPr>
          <w:i/>
          <w:color w:val="6E6158"/>
          <w:spacing w:val="-2"/>
          <w:sz w:val="20"/>
        </w:rPr>
        <w:t>laude</w:t>
      </w:r>
    </w:p>
    <w:p>
      <w:pPr>
        <w:pStyle w:val="BodyText"/>
        <w:spacing w:before="147"/>
        <w:ind w:left="343"/>
      </w:pPr>
      <w:r>
        <w:rPr>
          <w:color w:val="6E6158"/>
        </w:rPr>
        <w:t>Manuscript</w:t>
      </w:r>
      <w:r>
        <w:rPr>
          <w:color w:val="6E6158"/>
          <w:spacing w:val="9"/>
        </w:rPr>
        <w:t> </w:t>
      </w:r>
      <w:r>
        <w:rPr>
          <w:color w:val="6E6158"/>
        </w:rPr>
        <w:t>Editor,</w:t>
      </w:r>
      <w:r>
        <w:rPr>
          <w:color w:val="6E6158"/>
          <w:spacing w:val="9"/>
        </w:rPr>
        <w:t> </w:t>
      </w:r>
      <w:r>
        <w:rPr>
          <w:color w:val="6E6158"/>
        </w:rPr>
        <w:t>New</w:t>
      </w:r>
      <w:r>
        <w:rPr>
          <w:color w:val="6E6158"/>
          <w:spacing w:val="9"/>
        </w:rPr>
        <w:t> </w:t>
      </w:r>
      <w:r>
        <w:rPr>
          <w:color w:val="6E6158"/>
        </w:rPr>
        <w:t>Mexico</w:t>
      </w:r>
      <w:r>
        <w:rPr>
          <w:color w:val="6E6158"/>
          <w:spacing w:val="9"/>
        </w:rPr>
        <w:t> </w:t>
      </w:r>
      <w:r>
        <w:rPr>
          <w:color w:val="6E6158"/>
        </w:rPr>
        <w:t>Law</w:t>
      </w:r>
      <w:r>
        <w:rPr>
          <w:color w:val="6E6158"/>
          <w:spacing w:val="9"/>
        </w:rPr>
        <w:t> </w:t>
      </w:r>
      <w:r>
        <w:rPr>
          <w:color w:val="6E6158"/>
          <w:spacing w:val="-2"/>
        </w:rPr>
        <w:t>Review</w:t>
      </w:r>
    </w:p>
    <w:p>
      <w:pPr>
        <w:pStyle w:val="BodyText"/>
        <w:spacing w:before="171"/>
        <w:rPr>
          <w:sz w:val="24"/>
        </w:rPr>
      </w:pPr>
    </w:p>
    <w:p>
      <w:pPr>
        <w:pStyle w:val="Heading1"/>
      </w:pPr>
      <w:r>
        <w:rPr>
          <w:color w:val="FF8100"/>
        </w:rPr>
        <w:t>AREAS</w:t>
      </w:r>
      <w:r>
        <w:rPr>
          <w:color w:val="FF8100"/>
          <w:spacing w:val="6"/>
        </w:rPr>
        <w:t> </w:t>
      </w:r>
      <w:r>
        <w:rPr>
          <w:color w:val="FF8100"/>
        </w:rPr>
        <w:t>OF</w:t>
      </w:r>
      <w:r>
        <w:rPr>
          <w:color w:val="FF8100"/>
          <w:spacing w:val="6"/>
        </w:rPr>
        <w:t> </w:t>
      </w:r>
      <w:r>
        <w:rPr>
          <w:color w:val="FF8100"/>
          <w:spacing w:val="-2"/>
        </w:rPr>
        <w:t>PRACTICE</w:t>
      </w:r>
    </w:p>
    <w:p>
      <w:pPr>
        <w:pStyle w:val="BodyText"/>
        <w:spacing w:before="28"/>
        <w:rPr>
          <w:b/>
        </w:rPr>
      </w:pPr>
    </w:p>
    <w:p>
      <w:pPr>
        <w:pStyle w:val="BodyText"/>
        <w:ind w:left="99"/>
      </w:pPr>
      <w:r>
        <w:rPr>
          <w:color w:val="6E6158"/>
        </w:rPr>
        <w:t>Business</w:t>
      </w:r>
      <w:r>
        <w:rPr>
          <w:color w:val="6E6158"/>
          <w:spacing w:val="15"/>
        </w:rPr>
        <w:t> </w:t>
      </w:r>
      <w:r>
        <w:rPr>
          <w:color w:val="6E6158"/>
          <w:spacing w:val="-2"/>
        </w:rPr>
        <w:t>Litigation</w:t>
      </w:r>
    </w:p>
    <w:p>
      <w:pPr>
        <w:pStyle w:val="BodyText"/>
        <w:spacing w:before="163"/>
        <w:rPr>
          <w:sz w:val="24"/>
        </w:rPr>
      </w:pPr>
    </w:p>
    <w:p>
      <w:pPr>
        <w:pStyle w:val="Heading1"/>
      </w:pPr>
      <w:r>
        <w:rPr>
          <w:color w:val="FF8100"/>
        </w:rPr>
        <w:t>AWARDS</w:t>
      </w:r>
      <w:r>
        <w:rPr>
          <w:color w:val="FF8100"/>
          <w:spacing w:val="8"/>
        </w:rPr>
        <w:t> </w:t>
      </w:r>
      <w:r>
        <w:rPr>
          <w:color w:val="FF8100"/>
        </w:rPr>
        <w:t>AND</w:t>
      </w:r>
      <w:r>
        <w:rPr>
          <w:color w:val="FF8100"/>
          <w:spacing w:val="9"/>
        </w:rPr>
        <w:t> </w:t>
      </w:r>
      <w:r>
        <w:rPr>
          <w:color w:val="FF8100"/>
          <w:spacing w:val="-2"/>
        </w:rPr>
        <w:t>HONORS</w:t>
      </w:r>
    </w:p>
    <w:p>
      <w:pPr>
        <w:pStyle w:val="BodyText"/>
        <w:spacing w:before="5"/>
        <w:rPr>
          <w:b/>
          <w:sz w:val="20"/>
        </w:rPr>
      </w:pPr>
    </w:p>
    <w:p>
      <w:pPr>
        <w:spacing w:before="0"/>
        <w:ind w:left="99" w:right="0" w:firstLine="0"/>
        <w:jc w:val="left"/>
        <w:rPr>
          <w:sz w:val="19"/>
        </w:rPr>
      </w:pPr>
      <w:r>
        <w:rPr>
          <w:i/>
          <w:color w:val="6E6158"/>
          <w:sz w:val="20"/>
        </w:rPr>
        <w:t>Best</w:t>
      </w:r>
      <w:r>
        <w:rPr>
          <w:i/>
          <w:color w:val="6E6158"/>
          <w:spacing w:val="-12"/>
          <w:sz w:val="20"/>
        </w:rPr>
        <w:t> </w:t>
      </w:r>
      <w:r>
        <w:rPr>
          <w:i/>
          <w:color w:val="6E6158"/>
          <w:sz w:val="20"/>
        </w:rPr>
        <w:t>Lawyers:</w:t>
      </w:r>
      <w:r>
        <w:rPr>
          <w:i/>
          <w:color w:val="6E6158"/>
          <w:spacing w:val="-11"/>
          <w:sz w:val="20"/>
        </w:rPr>
        <w:t> </w:t>
      </w:r>
      <w:r>
        <w:rPr>
          <w:i/>
          <w:color w:val="6E6158"/>
          <w:sz w:val="20"/>
        </w:rPr>
        <w:t>Ones</w:t>
      </w:r>
      <w:r>
        <w:rPr>
          <w:i/>
          <w:color w:val="6E6158"/>
          <w:spacing w:val="-11"/>
          <w:sz w:val="20"/>
        </w:rPr>
        <w:t> </w:t>
      </w:r>
      <w:r>
        <w:rPr>
          <w:i/>
          <w:color w:val="6E6158"/>
          <w:sz w:val="20"/>
        </w:rPr>
        <w:t>to</w:t>
      </w:r>
      <w:r>
        <w:rPr>
          <w:i/>
          <w:color w:val="6E6158"/>
          <w:spacing w:val="-11"/>
          <w:sz w:val="20"/>
        </w:rPr>
        <w:t> </w:t>
      </w:r>
      <w:r>
        <w:rPr>
          <w:i/>
          <w:color w:val="6E6158"/>
          <w:sz w:val="20"/>
        </w:rPr>
        <w:t>Watch®</w:t>
      </w:r>
      <w:r>
        <w:rPr>
          <w:i/>
          <w:color w:val="6E6158"/>
          <w:spacing w:val="-11"/>
          <w:sz w:val="20"/>
        </w:rPr>
        <w:t> </w:t>
      </w:r>
      <w:r>
        <w:rPr>
          <w:i/>
          <w:color w:val="6E6158"/>
          <w:sz w:val="20"/>
        </w:rPr>
        <w:t>in</w:t>
      </w:r>
      <w:r>
        <w:rPr>
          <w:i/>
          <w:color w:val="6E6158"/>
          <w:spacing w:val="-11"/>
          <w:sz w:val="20"/>
        </w:rPr>
        <w:t> </w:t>
      </w:r>
      <w:r>
        <w:rPr>
          <w:i/>
          <w:color w:val="6E6158"/>
          <w:sz w:val="20"/>
        </w:rPr>
        <w:t>America</w:t>
      </w:r>
      <w:r>
        <w:rPr>
          <w:color w:val="6E6158"/>
          <w:sz w:val="19"/>
        </w:rPr>
        <w:t>,</w:t>
      </w:r>
      <w:r>
        <w:rPr>
          <w:color w:val="6E6158"/>
          <w:spacing w:val="-8"/>
          <w:sz w:val="19"/>
        </w:rPr>
        <w:t> </w:t>
      </w:r>
      <w:r>
        <w:rPr>
          <w:color w:val="6E6158"/>
          <w:sz w:val="19"/>
        </w:rPr>
        <w:t>Commercial</w:t>
      </w:r>
      <w:r>
        <w:rPr>
          <w:color w:val="6E6158"/>
          <w:spacing w:val="-8"/>
          <w:sz w:val="19"/>
        </w:rPr>
        <w:t> </w:t>
      </w:r>
      <w:r>
        <w:rPr>
          <w:color w:val="6E6158"/>
          <w:sz w:val="19"/>
        </w:rPr>
        <w:t>Litigation,</w:t>
      </w:r>
      <w:r>
        <w:rPr>
          <w:color w:val="6E6158"/>
          <w:spacing w:val="-8"/>
          <w:sz w:val="19"/>
        </w:rPr>
        <w:t> </w:t>
      </w:r>
      <w:r>
        <w:rPr>
          <w:color w:val="6E6158"/>
          <w:spacing w:val="-4"/>
          <w:sz w:val="19"/>
        </w:rPr>
        <w:t>2027</w:t>
      </w:r>
    </w:p>
    <w:p>
      <w:pPr>
        <w:spacing w:after="0"/>
        <w:jc w:val="left"/>
        <w:rPr>
          <w:sz w:val="19"/>
        </w:rPr>
        <w:sectPr>
          <w:type w:val="continuous"/>
          <w:pgSz w:w="12240" w:h="15840"/>
          <w:pgMar w:top="560" w:bottom="280" w:left="1440" w:right="1440"/>
        </w:sectPr>
      </w:pPr>
    </w:p>
    <w:p>
      <w:pPr>
        <w:pStyle w:val="Heading1"/>
        <w:spacing w:before="83"/>
      </w:pPr>
      <w:r>
        <w:rPr>
          <w:color w:val="FF8100"/>
          <w:spacing w:val="-2"/>
        </w:rPr>
        <w:t>ADMISSIONS</w:t>
      </w:r>
    </w:p>
    <w:p>
      <w:pPr>
        <w:pStyle w:val="BodyText"/>
        <w:spacing w:before="28"/>
        <w:rPr>
          <w:b/>
        </w:rPr>
      </w:pPr>
    </w:p>
    <w:p>
      <w:pPr>
        <w:pStyle w:val="BodyText"/>
        <w:spacing w:line="420" w:lineRule="auto"/>
        <w:ind w:left="99" w:right="7792"/>
      </w:pPr>
      <w:r>
        <w:rPr>
          <w:color w:val="6E6158"/>
          <w:spacing w:val="-2"/>
        </w:rPr>
        <w:t>California Kansas</w:t>
      </w:r>
    </w:p>
    <w:p>
      <w:pPr>
        <w:pStyle w:val="Heading1"/>
        <w:spacing w:before="290"/>
      </w:pPr>
      <w:r>
        <w:rPr>
          <w:color w:val="FF8100"/>
          <w:spacing w:val="-2"/>
        </w:rPr>
        <w:t>LANGUAGES</w:t>
      </w:r>
    </w:p>
    <w:p>
      <w:pPr>
        <w:pStyle w:val="BodyText"/>
        <w:spacing w:before="27"/>
        <w:rPr>
          <w:b/>
        </w:rPr>
      </w:pPr>
    </w:p>
    <w:p>
      <w:pPr>
        <w:pStyle w:val="BodyText"/>
        <w:ind w:left="99"/>
      </w:pPr>
      <w:r>
        <w:rPr>
          <w:color w:val="6E6158"/>
          <w:spacing w:val="-2"/>
        </w:rPr>
        <w:t>Spanish</w:t>
      </w:r>
    </w:p>
    <w:sectPr>
      <w:pgSz w:w="12240" w:h="15840"/>
      <w:pgMar w:top="580" w:bottom="280" w:left="1440" w:right="14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entury Gothic">
    <w:altName w:val="Century Gothic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entury Gothic" w:hAnsi="Century Gothic" w:eastAsia="Century Gothic" w:cs="Century Gothic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Century Gothic" w:hAnsi="Century Gothic" w:eastAsia="Century Gothic" w:cs="Century Gothic"/>
      <w:sz w:val="19"/>
      <w:szCs w:val="19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99"/>
      <w:outlineLvl w:val="1"/>
    </w:pPr>
    <w:rPr>
      <w:rFonts w:ascii="Century Gothic" w:hAnsi="Century Gothic" w:eastAsia="Century Gothic" w:cs="Century Gothic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https://www.fennemorelaw.com/" TargetMode="External"/><Relationship Id="rId7" Type="http://schemas.openxmlformats.org/officeDocument/2006/relationships/image" Target="media/image2.jpeg"/><Relationship Id="rId8" Type="http://schemas.openxmlformats.org/officeDocument/2006/relationships/hyperlink" Target="https://www.fennemorelaw.com/services/business-litigation/" TargetMode="External"/><Relationship Id="rId9" Type="http://schemas.openxmlformats.org/officeDocument/2006/relationships/hyperlink" Target="https://www.fennemorelaw.com/contact-us/san-diego/" TargetMode="External"/><Relationship Id="rId10" Type="http://schemas.openxmlformats.org/officeDocument/2006/relationships/hyperlink" Target="mailto:shernandez@fennemorelaw.com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Sabrina Hernandez - Fennemore</dc:title>
  <dcterms:created xsi:type="dcterms:W3CDTF">2026-09-04T21:26:55Z</dcterms:created>
  <dcterms:modified xsi:type="dcterms:W3CDTF">2026-09-04T21:26:55Z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2026-09-04T00:00:00Z</vt:filetime>
  </property>
  <property fmtid="{D5CDD505-2E9C-101B-9397-08002B2CF9AE}" pid="4" name="Creator">
    <vt:lpwstr>Mozilla/5.0 (X11; Linux x86_64) AppleWebKit/537.36 (KHTML, like Gecko) HeadlessChrome/151.0.0.0 Safari/537.36</vt:lpwstr>
  </property>
  <property fmtid="{D5CDD505-2E9C-101B-9397-08002B2CF9AE}" pid="5" name="LastSaved">
    <vt:filetime>2026-09-04T00:00:00Z</vt:filetime>
  </property>
  <property fmtid="{D5CDD505-2E9C-101B-9397-08002B2CF9AE}" pid="6" name="Producer">
    <vt:lpwstr>Skia/PDF m151</vt:lpwstr>
  </property>
</Properties>
</file>