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vannahWix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32619" y="1369338"/>
                            <a:ext cx="18395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9595" h="320675">
                                <a:moveTo>
                                  <a:pt x="183955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39556" y="320382"/>
                                </a:lnTo>
                                <a:lnTo>
                                  <a:pt x="1839556" y="315214"/>
                                </a:lnTo>
                                <a:close/>
                              </a:path>
                              <a:path w="1839595" h="320675">
                                <a:moveTo>
                                  <a:pt x="1839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39556" y="5168"/>
                                </a:lnTo>
                                <a:lnTo>
                                  <a:pt x="183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9"/>
                                </w:rPr>
                                <w:t>SAVANNAH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WIX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19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swix@fennemorelaw.com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SavannahWix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20;top:2156;width:2897;height:505" id="docshape5" coordorigin="5721,2156" coordsize="2897,505" path="m8618,2653l5721,2653,5721,2661,8618,2661,8618,2653xm8618,2156l5721,2156,5721,2165,8618,2165,8618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9"/>
                          </w:rPr>
                          <w:t>SAVANNAH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WIX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619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swix@fennemorelaw.com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SAVANNAH</w:t>
      </w:r>
      <w:r>
        <w:rPr>
          <w:color w:val="FF8100"/>
          <w:spacing w:val="14"/>
        </w:rPr>
        <w:t> </w:t>
      </w:r>
      <w:r>
        <w:rPr>
          <w:color w:val="FF8100"/>
          <w:spacing w:val="-5"/>
        </w:rPr>
        <w:t>WIX</w:t>
      </w:r>
    </w:p>
    <w:p>
      <w:pPr>
        <w:pStyle w:val="BodyText"/>
        <w:spacing w:line="295" w:lineRule="auto" w:before="147"/>
        <w:ind w:right="496"/>
      </w:pPr>
      <w:r>
        <w:rPr>
          <w:color w:val="6E6158"/>
        </w:rPr>
        <w:t>Savannah Wix is an Associate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practice group, where she</w:t>
      </w:r>
      <w:r>
        <w:rPr>
          <w:color w:val="6E6158"/>
          <w:spacing w:val="40"/>
        </w:rPr>
        <w:t> </w:t>
      </w:r>
      <w:r>
        <w:rPr>
          <w:color w:val="6E6158"/>
        </w:rPr>
        <w:t>represents businesses and business owners in commercial disputes. Her practice includes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separations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partnership</w:t>
      </w:r>
      <w:r>
        <w:rPr>
          <w:color w:val="6E6158"/>
          <w:spacing w:val="40"/>
        </w:rPr>
        <w:t>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breach-of-contract</w:t>
      </w:r>
      <w:r>
        <w:rPr>
          <w:color w:val="6E6158"/>
          <w:spacing w:val="40"/>
        </w:rPr>
        <w:t> </w:t>
      </w:r>
      <w:r>
        <w:rPr>
          <w:color w:val="6E6158"/>
        </w:rPr>
        <w:t>claims,</w:t>
      </w:r>
      <w:r>
        <w:rPr>
          <w:color w:val="6E6158"/>
          <w:spacing w:val="40"/>
        </w:rPr>
        <w:t> </w:t>
      </w:r>
      <w:r>
        <w:rPr>
          <w:color w:val="6E6158"/>
        </w:rPr>
        <w:t>defamation</w:t>
      </w:r>
      <w:r>
        <w:rPr>
          <w:color w:val="6E6158"/>
          <w:spacing w:val="40"/>
        </w:rPr>
        <w:t>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and other complex business disputes.</w:t>
      </w:r>
    </w:p>
    <w:p>
      <w:pPr>
        <w:pStyle w:val="BodyText"/>
        <w:spacing w:line="292" w:lineRule="auto" w:before="204"/>
        <w:ind w:right="496"/>
      </w:pPr>
      <w:r>
        <w:rPr>
          <w:color w:val="6E6158"/>
        </w:rPr>
        <w:t>Prior to joining Fennemore, Savannah gained significant experience representing clients before</w:t>
      </w:r>
      <w:r>
        <w:rPr>
          <w:color w:val="6E6158"/>
          <w:spacing w:val="40"/>
        </w:rPr>
        <w:t> </w:t>
      </w:r>
      <w:r>
        <w:rPr>
          <w:color w:val="6E6158"/>
        </w:rPr>
        <w:t>state</w:t>
      </w:r>
      <w:r>
        <w:rPr>
          <w:color w:val="6E6158"/>
          <w:spacing w:val="32"/>
        </w:rPr>
        <w:t> </w:t>
      </w:r>
      <w:r>
        <w:rPr>
          <w:color w:val="6E6158"/>
        </w:rPr>
        <w:t>professional</w:t>
      </w:r>
      <w:r>
        <w:rPr>
          <w:color w:val="6E6158"/>
          <w:spacing w:val="32"/>
        </w:rPr>
        <w:t> </w:t>
      </w:r>
      <w:r>
        <w:rPr>
          <w:color w:val="6E6158"/>
        </w:rPr>
        <w:t>licensing</w:t>
      </w:r>
      <w:r>
        <w:rPr>
          <w:color w:val="6E6158"/>
          <w:spacing w:val="32"/>
        </w:rPr>
        <w:t> </w:t>
      </w:r>
      <w:r>
        <w:rPr>
          <w:color w:val="6E6158"/>
        </w:rPr>
        <w:t>boards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counseling</w:t>
      </w:r>
      <w:r>
        <w:rPr>
          <w:color w:val="6E6158"/>
          <w:spacing w:val="32"/>
        </w:rPr>
        <w:t> </w:t>
      </w:r>
      <w:r>
        <w:rPr>
          <w:color w:val="6E6158"/>
        </w:rPr>
        <w:t>organizations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regulatory</w:t>
      </w:r>
      <w:r>
        <w:rPr>
          <w:color w:val="6E6158"/>
          <w:spacing w:val="32"/>
        </w:rPr>
        <w:t> </w:t>
      </w:r>
      <w:r>
        <w:rPr>
          <w:color w:val="6E6158"/>
        </w:rPr>
        <w:t>issues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full-service business law firm. She also has experience in criminal defense, providing her with a broad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35"/>
        </w:rPr>
        <w:t> </w:t>
      </w:r>
      <w:r>
        <w:rPr>
          <w:color w:val="6E6158"/>
        </w:rPr>
        <w:t>background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perspective</w:t>
      </w:r>
      <w:r>
        <w:rPr>
          <w:color w:val="6E6158"/>
          <w:spacing w:val="35"/>
        </w:rPr>
        <w:t> </w:t>
      </w:r>
      <w:r>
        <w:rPr>
          <w:color w:val="6E6158"/>
        </w:rPr>
        <w:t>across</w:t>
      </w:r>
      <w:r>
        <w:rPr>
          <w:color w:val="6E6158"/>
          <w:spacing w:val="35"/>
        </w:rPr>
        <w:t> </w:t>
      </w:r>
      <w:r>
        <w:rPr>
          <w:color w:val="6E6158"/>
        </w:rPr>
        <w:t>a</w:t>
      </w:r>
      <w:r>
        <w:rPr>
          <w:color w:val="6E6158"/>
          <w:spacing w:val="35"/>
        </w:rPr>
        <w:t> </w:t>
      </w:r>
      <w:r>
        <w:rPr>
          <w:color w:val="6E6158"/>
        </w:rPr>
        <w:t>range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legal</w:t>
      </w:r>
      <w:r>
        <w:rPr>
          <w:color w:val="6E6158"/>
          <w:spacing w:val="35"/>
        </w:rPr>
        <w:t> </w:t>
      </w:r>
      <w:r>
        <w:rPr>
          <w:color w:val="6E6158"/>
        </w:rPr>
        <w:t>proceedings.</w:t>
      </w:r>
      <w:r>
        <w:rPr>
          <w:color w:val="6E6158"/>
          <w:spacing w:val="35"/>
        </w:rPr>
        <w:t> </w:t>
      </w:r>
      <w:r>
        <w:rPr>
          <w:color w:val="6E6158"/>
        </w:rPr>
        <w:t>Before</w:t>
      </w:r>
      <w:r>
        <w:rPr>
          <w:color w:val="6E6158"/>
          <w:spacing w:val="35"/>
        </w:rPr>
        <w:t> </w:t>
      </w:r>
      <w:r>
        <w:rPr>
          <w:color w:val="6E6158"/>
        </w:rPr>
        <w:t>practicing</w:t>
      </w:r>
    </w:p>
    <w:p>
      <w:pPr>
        <w:pStyle w:val="BodyText"/>
        <w:spacing w:line="292" w:lineRule="auto" w:before="11"/>
        <w:ind w:right="372"/>
      </w:pPr>
      <w:r>
        <w:rPr>
          <w:color w:val="6E6158"/>
        </w:rPr>
        <w:t>law, Savannah served as a judicial extern to the Honorable Judge Michael T. Liburdi of the U.S.</w:t>
      </w:r>
      <w:r>
        <w:rPr>
          <w:color w:val="6E6158"/>
          <w:spacing w:val="40"/>
        </w:rPr>
        <w:t> </w:t>
      </w:r>
      <w:r>
        <w:rPr>
          <w:color w:val="6E6158"/>
        </w:rPr>
        <w:t>District Court for the District of Arizona.</w:t>
      </w:r>
    </w:p>
    <w:p>
      <w:pPr>
        <w:pStyle w:val="BodyText"/>
        <w:spacing w:line="288" w:lineRule="auto" w:before="196"/>
        <w:ind w:right="704"/>
      </w:pPr>
      <w:r>
        <w:rPr>
          <w:color w:val="6E6158"/>
        </w:rPr>
        <w:t>Savannah earned her law degree from the Sandra Day O’Connor College of Law at Arizona</w:t>
      </w:r>
      <w:r>
        <w:rPr>
          <w:color w:val="6E6158"/>
          <w:spacing w:val="40"/>
        </w:rPr>
        <w:t> </w:t>
      </w:r>
      <w:r>
        <w:rPr>
          <w:color w:val="6E6158"/>
        </w:rPr>
        <w:t>State University. While in law school, she served as Executive Operations Editor for the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z w:val="20"/>
        </w:rPr>
        <w:t> State Law Journal</w:t>
      </w:r>
      <w:r>
        <w:rPr>
          <w:color w:val="6E6158"/>
        </w:rPr>
        <w:t>, President of the Law Cappella singing group, and a teaching assistant for Legal Method &amp; Writing and Legal Advocacy. She received multiple honors, including the</w:t>
      </w:r>
      <w:r>
        <w:rPr>
          <w:color w:val="6E6158"/>
          <w:spacing w:val="40"/>
        </w:rPr>
        <w:t> </w:t>
      </w:r>
      <w:r>
        <w:rPr>
          <w:color w:val="6E6158"/>
        </w:rPr>
        <w:t>NAWL’s Outstanding Graduate Award, several CALI Awards, and recognition as a Willard H. Pedrick Scholar.</w:t>
      </w:r>
    </w:p>
    <w:p>
      <w:pPr>
        <w:pStyle w:val="BodyText"/>
        <w:spacing w:before="214"/>
      </w:pPr>
      <w:r>
        <w:rPr>
          <w:color w:val="6E6158"/>
        </w:rPr>
        <w:t>Savannah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active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local</w:t>
      </w:r>
      <w:r>
        <w:rPr>
          <w:color w:val="6E6158"/>
          <w:spacing w:val="11"/>
        </w:rPr>
        <w:t> </w:t>
      </w:r>
      <w:r>
        <w:rPr>
          <w:color w:val="6E6158"/>
        </w:rPr>
        <w:t>community.</w:t>
      </w:r>
      <w:r>
        <w:rPr>
          <w:color w:val="6E6158"/>
          <w:spacing w:val="11"/>
        </w:rPr>
        <w:t> </w:t>
      </w:r>
      <w:r>
        <w:rPr>
          <w:color w:val="6E6158"/>
        </w:rPr>
        <w:t>She</w:t>
      </w:r>
      <w:r>
        <w:rPr>
          <w:color w:val="6E6158"/>
          <w:spacing w:val="11"/>
        </w:rPr>
        <w:t> </w:t>
      </w:r>
      <w:r>
        <w:rPr>
          <w:color w:val="6E6158"/>
        </w:rPr>
        <w:t>currently</w:t>
      </w:r>
      <w:r>
        <w:rPr>
          <w:color w:val="6E6158"/>
          <w:spacing w:val="10"/>
        </w:rPr>
        <w:t> </w:t>
      </w:r>
      <w:r>
        <w:rPr>
          <w:color w:val="6E6158"/>
        </w:rPr>
        <w:t>serves</w:t>
      </w:r>
      <w:r>
        <w:rPr>
          <w:color w:val="6E6158"/>
          <w:spacing w:val="11"/>
        </w:rPr>
        <w:t> </w:t>
      </w:r>
      <w:r>
        <w:rPr>
          <w:color w:val="6E6158"/>
        </w:rPr>
        <w:t>as</w:t>
      </w:r>
      <w:r>
        <w:rPr>
          <w:color w:val="6E6158"/>
          <w:spacing w:val="11"/>
        </w:rPr>
        <w:t> </w:t>
      </w:r>
      <w:r>
        <w:rPr>
          <w:color w:val="6E6158"/>
        </w:rPr>
        <w:t>President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292" w:lineRule="auto" w:before="52"/>
      </w:pPr>
      <w:r>
        <w:rPr>
          <w:color w:val="6E6158"/>
        </w:rPr>
        <w:t>Maricopa County Bar Association’s Young Lawyers Division and is Co-Chair of the Ovation </w:t>
      </w:r>
      <w:r>
        <w:rPr>
          <w:color w:val="6E6158"/>
        </w:rPr>
        <w:t>Gala Committee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Rosie’s</w:t>
      </w:r>
      <w:r>
        <w:rPr>
          <w:color w:val="6E6158"/>
          <w:spacing w:val="29"/>
        </w:rPr>
        <w:t> </w:t>
      </w:r>
      <w:r>
        <w:rPr>
          <w:color w:val="6E6158"/>
        </w:rPr>
        <w:t>House.</w:t>
      </w:r>
      <w:r>
        <w:rPr>
          <w:color w:val="6E6158"/>
          <w:spacing w:val="29"/>
        </w:rPr>
        <w:t> </w:t>
      </w:r>
      <w:r>
        <w:rPr>
          <w:color w:val="6E6158"/>
        </w:rPr>
        <w:t>Outside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her</w:t>
      </w:r>
      <w:r>
        <w:rPr>
          <w:color w:val="6E6158"/>
          <w:spacing w:val="29"/>
        </w:rPr>
        <w:t> </w:t>
      </w:r>
      <w:r>
        <w:rPr>
          <w:color w:val="6E6158"/>
        </w:rPr>
        <w:t>practice,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enjoys</w:t>
      </w:r>
      <w:r>
        <w:rPr>
          <w:color w:val="6E6158"/>
          <w:spacing w:val="29"/>
        </w:rPr>
        <w:t> </w:t>
      </w:r>
      <w:r>
        <w:rPr>
          <w:color w:val="6E6158"/>
        </w:rPr>
        <w:t>hiking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Grand</w:t>
      </w:r>
      <w:r>
        <w:rPr>
          <w:color w:val="6E6158"/>
          <w:spacing w:val="29"/>
        </w:rPr>
        <w:t> </w:t>
      </w:r>
      <w:r>
        <w:rPr>
          <w:color w:val="6E6158"/>
        </w:rPr>
        <w:t>Canyon,</w:t>
      </w:r>
    </w:p>
    <w:p>
      <w:pPr>
        <w:pStyle w:val="BodyText"/>
        <w:spacing w:before="9"/>
      </w:pPr>
      <w:r>
        <w:rPr>
          <w:color w:val="6E6158"/>
        </w:rPr>
        <w:t>karaoke,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discovering</w:t>
      </w:r>
      <w:r>
        <w:rPr>
          <w:color w:val="6E6158"/>
          <w:spacing w:val="14"/>
        </w:rPr>
        <w:t> </w:t>
      </w:r>
      <w:r>
        <w:rPr>
          <w:color w:val="6E6158"/>
        </w:rPr>
        <w:t>new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restaurants.</w:t>
      </w:r>
    </w:p>
    <w:p>
      <w:pPr>
        <w:pStyle w:val="Heading1"/>
        <w:spacing w:before="214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Sandra</w:t>
      </w:r>
      <w:r>
        <w:rPr>
          <w:color w:val="6E6158"/>
          <w:spacing w:val="10"/>
        </w:rPr>
        <w:t> </w:t>
      </w:r>
      <w:r>
        <w:rPr>
          <w:color w:val="6E6158"/>
        </w:rPr>
        <w:t>Day</w:t>
      </w:r>
      <w:r>
        <w:rPr>
          <w:color w:val="6E6158"/>
          <w:spacing w:val="10"/>
        </w:rPr>
        <w:t> </w:t>
      </w:r>
      <w:r>
        <w:rPr>
          <w:color w:val="6E6158"/>
        </w:rPr>
        <w:t>O’Connor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Law,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University,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7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2" w:lineRule="auto" w:before="147"/>
        <w:ind w:left="343" w:right="3665"/>
      </w:pPr>
      <w:r>
        <w:rPr>
          <w:color w:val="6E6158"/>
        </w:rPr>
        <w:t>Executive Operations Editor, Arizona State Law Journal Director of Fundraising, Women Law Students </w:t>
      </w:r>
      <w:r>
        <w:rPr>
          <w:color w:val="6E6158"/>
        </w:rPr>
        <w:t>Association President, ASU Law Cappella</w:t>
      </w:r>
    </w:p>
    <w:p>
      <w:pPr>
        <w:pStyle w:val="BodyText"/>
        <w:spacing w:line="420" w:lineRule="auto"/>
        <w:ind w:left="343" w:right="2915"/>
      </w:pPr>
      <w:r>
        <w:rPr>
          <w:color w:val="6E6158"/>
        </w:rPr>
        <w:t>National Association of Women Lawyers Outstanding </w:t>
      </w:r>
      <w:r>
        <w:rPr>
          <w:color w:val="6E6158"/>
        </w:rPr>
        <w:t>Graduate William H. Pedrick Scholar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O’Connor</w:t>
      </w:r>
      <w:r>
        <w:rPr>
          <w:color w:val="6E6158"/>
          <w:spacing w:val="14"/>
        </w:rPr>
        <w:t> </w:t>
      </w:r>
      <w:r>
        <w:rPr>
          <w:color w:val="6E6158"/>
        </w:rPr>
        <w:t>Merit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before="174"/>
        <w:ind w:left="343"/>
      </w:pPr>
      <w:r>
        <w:rPr>
          <w:color w:val="6E6158"/>
        </w:rPr>
        <w:t>Center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Science,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Innovation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line="420" w:lineRule="auto" w:before="182"/>
        <w:ind w:left="343" w:right="3951"/>
      </w:pPr>
      <w:r>
        <w:rPr>
          <w:color w:val="6E6158"/>
        </w:rPr>
        <w:t>CALI Awards: Entertainment Law, Intellectual </w:t>
      </w:r>
      <w:r>
        <w:rPr>
          <w:color w:val="6E6158"/>
        </w:rPr>
        <w:t>Property Legal Method &amp; Writing, Teaching Assistant</w:t>
      </w:r>
    </w:p>
    <w:p>
      <w:pPr>
        <w:pStyle w:val="BodyText"/>
        <w:spacing w:line="420" w:lineRule="auto"/>
        <w:ind w:left="343" w:right="5386"/>
      </w:pPr>
      <w:r>
        <w:rPr>
          <w:color w:val="6E6158"/>
        </w:rPr>
        <w:t>Legal Advocacy, Teaching </w:t>
      </w:r>
      <w:r>
        <w:rPr>
          <w:color w:val="6E6158"/>
        </w:rPr>
        <w:t>Assistant Arizona Legal Center Volunteer</w:t>
      </w:r>
    </w:p>
    <w:p>
      <w:pPr>
        <w:spacing w:line="242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Pepperdine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summa cum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0" w:lineRule="auto" w:before="146"/>
        <w:ind w:left="343" w:right="7266"/>
      </w:pPr>
      <w:r>
        <w:rPr>
          <w:color w:val="6E6158"/>
        </w:rPr>
        <w:t>Regents </w:t>
      </w:r>
      <w:r>
        <w:rPr>
          <w:color w:val="6E6158"/>
        </w:rPr>
        <w:t>Scholar Dean’s List</w:t>
      </w:r>
    </w:p>
    <w:p>
      <w:pPr>
        <w:pStyle w:val="BodyText"/>
        <w:spacing w:line="231" w:lineRule="exact"/>
        <w:ind w:left="343"/>
      </w:pPr>
      <w:r>
        <w:rPr>
          <w:color w:val="6E6158"/>
        </w:rPr>
        <w:t>Great</w:t>
      </w:r>
      <w:r>
        <w:rPr>
          <w:color w:val="6E6158"/>
          <w:spacing w:val="11"/>
        </w:rPr>
        <w:t> </w:t>
      </w:r>
      <w:r>
        <w:rPr>
          <w:color w:val="6E6158"/>
        </w:rPr>
        <w:t>Books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Colloquium</w:t>
      </w:r>
    </w:p>
    <w:p>
      <w:pPr>
        <w:pStyle w:val="BodyText"/>
        <w:spacing w:line="420" w:lineRule="auto" w:before="182"/>
        <w:ind w:left="343" w:right="3951"/>
      </w:pPr>
      <w:r>
        <w:rPr>
          <w:color w:val="6E6158"/>
        </w:rPr>
        <w:t>President of the Zeta Phi chapter of Kappa Alpha </w:t>
      </w:r>
      <w:r>
        <w:rPr>
          <w:color w:val="6E6158"/>
        </w:rPr>
        <w:t>Theta International Program, Florence, Italy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408" w:lineRule="auto" w:before="0"/>
        <w:ind w:left="99" w:right="1302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Lawyers: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Ones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Watch®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Administrative/Regulatory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z w:val="19"/>
        </w:rPr>
        <w:t>2027 Kappa Alpha Theta, Theta’s 35 Under 35, 2025</w:t>
      </w:r>
    </w:p>
    <w:p>
      <w:pPr>
        <w:pStyle w:val="BodyText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704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Avoid the Fallout from a ‘Business Divorce’</w:t>
        </w:r>
      </w:hyperlink>
      <w:r>
        <w:rPr>
          <w:color w:val="6E6158"/>
        </w:rPr>
        <w:t>,” Greater Phoenix inBusiness Magazine, June 1, 2026</w:t>
      </w:r>
    </w:p>
    <w:p>
      <w:pPr>
        <w:pStyle w:val="BodyText"/>
        <w:spacing w:before="113"/>
      </w:pPr>
      <w:r>
        <w:rPr>
          <w:color w:val="6E6158"/>
        </w:rPr>
        <w:t>Co-Author,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How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Avoid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Contentious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Divorce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</w:rPr>
        <w:t>Management,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29,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7" w:lineRule="auto" w:before="173"/>
        <w:ind w:right="496"/>
      </w:pPr>
      <w:r>
        <w:rPr>
          <w:color w:val="6E6158"/>
        </w:rPr>
        <w:t>Co-Author,</w:t>
      </w:r>
      <w:r>
        <w:rPr>
          <w:color w:val="6E6158"/>
          <w:spacing w:val="36"/>
        </w:rPr>
        <w:t> </w:t>
      </w:r>
      <w:r>
        <w:rPr>
          <w:color w:val="6E6158"/>
        </w:rPr>
        <w:t>Arizona</w:t>
      </w:r>
      <w:r>
        <w:rPr>
          <w:color w:val="6E6158"/>
          <w:spacing w:val="36"/>
        </w:rPr>
        <w:t> </w:t>
      </w:r>
      <w:r>
        <w:rPr>
          <w:color w:val="6E6158"/>
        </w:rPr>
        <w:t>Society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Healthcare</w:t>
      </w:r>
      <w:r>
        <w:rPr>
          <w:color w:val="6E6158"/>
          <w:spacing w:val="36"/>
        </w:rPr>
        <w:t> </w:t>
      </w:r>
      <w:r>
        <w:rPr>
          <w:color w:val="6E6158"/>
        </w:rPr>
        <w:t>Attorneys,</w:t>
      </w:r>
      <w:r>
        <w:rPr>
          <w:color w:val="6E6158"/>
          <w:spacing w:val="36"/>
        </w:rPr>
        <w:t> </w:t>
      </w:r>
      <w:r>
        <w:rPr>
          <w:color w:val="6E6158"/>
        </w:rPr>
        <w:t>“Arizona</w:t>
      </w:r>
      <w:r>
        <w:rPr>
          <w:color w:val="6E6158"/>
          <w:spacing w:val="36"/>
        </w:rPr>
        <w:t> </w:t>
      </w:r>
      <w:r>
        <w:rPr>
          <w:color w:val="6E6158"/>
        </w:rPr>
        <w:t>Court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Appeals</w:t>
      </w:r>
      <w:r>
        <w:rPr>
          <w:color w:val="6E6158"/>
          <w:spacing w:val="36"/>
        </w:rPr>
        <w:t> </w:t>
      </w:r>
      <w:r>
        <w:rPr>
          <w:color w:val="6E6158"/>
        </w:rPr>
        <w:t>Provides Guidance on Who May Be an “Acquaintance Witness” in Petition for Court-Ordered Treatment,”</w:t>
      </w:r>
      <w:r>
        <w:rPr>
          <w:color w:val="6E6158"/>
          <w:spacing w:val="40"/>
        </w:rPr>
        <w:t> </w:t>
      </w:r>
      <w:r>
        <w:rPr>
          <w:color w:val="6E6158"/>
        </w:rPr>
        <w:t>February 8, 2025</w:t>
      </w:r>
    </w:p>
    <w:p>
      <w:pPr>
        <w:pStyle w:val="BodyText"/>
        <w:spacing w:before="118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“ASU</w:t>
      </w:r>
      <w:r>
        <w:rPr>
          <w:color w:val="6E6158"/>
          <w:spacing w:val="13"/>
        </w:rPr>
        <w:t> </w:t>
      </w:r>
      <w:r>
        <w:rPr>
          <w:color w:val="6E6158"/>
        </w:rPr>
        <w:t>boosts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economic</w:t>
      </w:r>
      <w:r>
        <w:rPr>
          <w:color w:val="6E6158"/>
          <w:spacing w:val="13"/>
        </w:rPr>
        <w:t> </w:t>
      </w:r>
      <w:r>
        <w:rPr>
          <w:color w:val="6E6158"/>
        </w:rPr>
        <w:t>vitality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Arizona,”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24,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496"/>
      </w:pPr>
      <w:r>
        <w:rPr>
          <w:color w:val="6E6158"/>
        </w:rPr>
        <w:t>Co-Author, “International Arbitration Experts Discuss Whether Arbitration is E</w:t>
      </w:r>
      <w:r>
        <w:rPr>
          <w:rFonts w:ascii="Arimo" w:hAnsi="Arimo"/>
          <w:color w:val="6E6158"/>
        </w:rPr>
        <w:t>ffi</w:t>
      </w:r>
      <w:r>
        <w:rPr>
          <w:color w:val="6E6158"/>
        </w:rPr>
        <w:t>cient </w:t>
      </w:r>
      <w:r>
        <w:rPr>
          <w:color w:val="6E6158"/>
        </w:rPr>
        <w:t>Dispute Resolution,” Mealey’s International Arbitration Report, December, 2023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1302"/>
      </w:pPr>
      <w:r>
        <w:rPr>
          <w:color w:val="6E6158"/>
        </w:rPr>
        <w:t>President, Maricopa County Bar Association, Young Lawyers Division, 2025-</w:t>
      </w:r>
      <w:r>
        <w:rPr>
          <w:color w:val="6E6158"/>
        </w:rPr>
        <w:t>Present Member, Arizona Women Lawyers Association</w:t>
      </w:r>
    </w:p>
    <w:p>
      <w:pPr>
        <w:pStyle w:val="BodyText"/>
        <w:spacing w:line="427" w:lineRule="auto"/>
        <w:ind w:right="4637"/>
      </w:pPr>
      <w:r>
        <w:rPr>
          <w:color w:val="6E6158"/>
        </w:rPr>
        <w:t>Co-Chair, Ovation Gala Committee, Rosie’s </w:t>
      </w:r>
      <w:r>
        <w:rPr>
          <w:color w:val="6E6158"/>
        </w:rPr>
        <w:t>House Miss Arizona USA 2019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mo">
    <w:altName w:val="Arimo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wix@fennemorelaw.com" TargetMode="External"/><Relationship Id="rId11" Type="http://schemas.openxmlformats.org/officeDocument/2006/relationships/hyperlink" Target="https://inbusinessphx.com/legal-regulations/avoid-the-fallout-from-a-business-divorce" TargetMode="External"/><Relationship Id="rId12" Type="http://schemas.openxmlformats.org/officeDocument/2006/relationships/hyperlink" Target="https://www.wealthmanagement.com/high-net-worth/how-to-avoid-a-contentious-business-divorc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Savannah Wix - Fennemore</dc:title>
  <dcterms:created xsi:type="dcterms:W3CDTF">2026-09-04T21:17:24Z</dcterms:created>
  <dcterms:modified xsi:type="dcterms:W3CDTF">2026-09-04T21:17:24Z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