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Savitt Bruce Steve Wiley web header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886787" y="763308"/>
                            <a:ext cx="134683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STEPHEN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C.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WILLEY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80104" y="2133494"/>
                            <a:ext cx="3600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Seattle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206.749.0500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206.749.0600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57237" y="2500373"/>
                            <a:ext cx="140589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swilley@fennemorelaw.com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Savitt Bruce Steve Wiley web header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57;top:-3887;width:2121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STEPHEN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C.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WILLEY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34;top:-1729;width:567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Seattle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206.749.0500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206.749.0600</w:t>
                        </w:r>
                      </w:p>
                    </w:txbxContent>
                  </v:textbox>
                  <w10:wrap type="none"/>
                </v:shape>
                <v:shape style="position:absolute;left:7410;top:-1151;width:2214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swilley@fennemorelaw.com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STEPHEN</w:t>
      </w:r>
      <w:r>
        <w:rPr>
          <w:color w:val="FF8100"/>
          <w:spacing w:val="7"/>
        </w:rPr>
        <w:t> </w:t>
      </w:r>
      <w:r>
        <w:rPr>
          <w:color w:val="FF8100"/>
        </w:rPr>
        <w:t>C.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WILLEY</w:t>
      </w:r>
    </w:p>
    <w:p>
      <w:pPr>
        <w:pStyle w:val="BodyText"/>
        <w:spacing w:line="295" w:lineRule="auto" w:before="146"/>
        <w:ind w:right="231"/>
      </w:pPr>
      <w:r>
        <w:rPr>
          <w:color w:val="6E6158"/>
        </w:rPr>
        <w:t>Steve</w:t>
      </w:r>
      <w:r>
        <w:rPr>
          <w:color w:val="6E6158"/>
          <w:spacing w:val="31"/>
        </w:rPr>
        <w:t> </w:t>
      </w:r>
      <w:r>
        <w:rPr>
          <w:color w:val="6E6158"/>
        </w:rPr>
        <w:t>represents</w:t>
      </w:r>
      <w:r>
        <w:rPr>
          <w:color w:val="6E6158"/>
          <w:spacing w:val="31"/>
        </w:rPr>
        <w:t> </w:t>
      </w:r>
      <w:r>
        <w:rPr>
          <w:color w:val="6E6158"/>
        </w:rPr>
        <w:t>both</w:t>
      </w:r>
      <w:r>
        <w:rPr>
          <w:color w:val="6E6158"/>
          <w:spacing w:val="31"/>
        </w:rPr>
        <w:t> </w:t>
      </w:r>
      <w:r>
        <w:rPr>
          <w:color w:val="6E6158"/>
        </w:rPr>
        <w:t>plaintiffs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defendants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wide</w:t>
      </w:r>
      <w:r>
        <w:rPr>
          <w:color w:val="6E6158"/>
          <w:spacing w:val="31"/>
        </w:rPr>
        <w:t> </w:t>
      </w:r>
      <w:r>
        <w:rPr>
          <w:color w:val="6E6158"/>
        </w:rPr>
        <w:t>range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commercial</w:t>
      </w:r>
      <w:r>
        <w:rPr>
          <w:color w:val="6E6158"/>
          <w:spacing w:val="31"/>
        </w:rPr>
        <w:t> </w:t>
      </w:r>
      <w:r>
        <w:rPr>
          <w:color w:val="6E6158"/>
        </w:rPr>
        <w:t>disputes, including intellectual property matters, business torts, contracts, securities claims, corporate</w:t>
      </w:r>
      <w:r>
        <w:rPr>
          <w:color w:val="6E6158"/>
          <w:spacing w:val="40"/>
        </w:rPr>
        <w:t> </w:t>
      </w:r>
      <w:r>
        <w:rPr>
          <w:color w:val="6E6158"/>
        </w:rPr>
        <w:t>governance, and employment-related issues. Known for his strategic and client-centric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approach, Steve tries cases, handles appeals, engages in alternative dispute resolution (ADR),</w:t>
      </w:r>
      <w:r>
        <w:rPr>
          <w:color w:val="6E6158"/>
          <w:spacing w:val="40"/>
        </w:rPr>
        <w:t> </w:t>
      </w:r>
      <w:r>
        <w:rPr>
          <w:color w:val="6E6158"/>
        </w:rPr>
        <w:t>and assists clients with litigation-related counseling.</w:t>
      </w:r>
    </w:p>
    <w:p>
      <w:pPr>
        <w:pStyle w:val="BodyText"/>
        <w:spacing w:line="295" w:lineRule="auto" w:before="203"/>
        <w:ind w:right="231"/>
      </w:pPr>
      <w:r>
        <w:rPr>
          <w:color w:val="6E6158"/>
        </w:rPr>
        <w:t>Prior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joining</w:t>
      </w:r>
      <w:r>
        <w:rPr>
          <w:color w:val="6E6158"/>
          <w:spacing w:val="27"/>
        </w:rPr>
        <w:t> </w:t>
      </w:r>
      <w:r>
        <w:rPr>
          <w:color w:val="6E6158"/>
        </w:rPr>
        <w:t>Fennemore,</w:t>
      </w:r>
      <w:r>
        <w:rPr>
          <w:color w:val="6E6158"/>
          <w:spacing w:val="27"/>
        </w:rPr>
        <w:t> </w:t>
      </w:r>
      <w:r>
        <w:rPr>
          <w:color w:val="6E6158"/>
        </w:rPr>
        <w:t>Steve</w:t>
      </w:r>
      <w:r>
        <w:rPr>
          <w:color w:val="6E6158"/>
          <w:spacing w:val="27"/>
        </w:rPr>
        <w:t> </w:t>
      </w:r>
      <w:r>
        <w:rPr>
          <w:color w:val="6E6158"/>
        </w:rPr>
        <w:t>practiced</w:t>
      </w:r>
      <w:r>
        <w:rPr>
          <w:color w:val="6E6158"/>
          <w:spacing w:val="27"/>
        </w:rPr>
        <w:t> </w:t>
      </w:r>
      <w:r>
        <w:rPr>
          <w:color w:val="6E6158"/>
        </w:rPr>
        <w:t>with</w:t>
      </w:r>
      <w:r>
        <w:rPr>
          <w:color w:val="6E6158"/>
          <w:spacing w:val="27"/>
        </w:rPr>
        <w:t> </w:t>
      </w:r>
      <w:r>
        <w:rPr>
          <w:color w:val="6E6158"/>
        </w:rPr>
        <w:t>Savitt</w:t>
      </w:r>
      <w:r>
        <w:rPr>
          <w:color w:val="6E6158"/>
          <w:spacing w:val="27"/>
        </w:rPr>
        <w:t> </w:t>
      </w:r>
      <w:r>
        <w:rPr>
          <w:color w:val="6E6158"/>
        </w:rPr>
        <w:t>Bruce</w:t>
      </w:r>
      <w:r>
        <w:rPr>
          <w:color w:val="6E6158"/>
          <w:spacing w:val="27"/>
        </w:rPr>
        <w:t> </w:t>
      </w:r>
      <w:r>
        <w:rPr>
          <w:color w:val="6E6158"/>
        </w:rPr>
        <w:t>&amp;</w:t>
      </w:r>
      <w:r>
        <w:rPr>
          <w:color w:val="6E6158"/>
          <w:spacing w:val="27"/>
        </w:rPr>
        <w:t> </w:t>
      </w:r>
      <w:r>
        <w:rPr>
          <w:color w:val="6E6158"/>
        </w:rPr>
        <w:t>Willey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Seattle,</w:t>
      </w:r>
      <w:r>
        <w:rPr>
          <w:color w:val="6E6158"/>
          <w:spacing w:val="27"/>
        </w:rPr>
        <w:t> </w:t>
      </w:r>
      <w:r>
        <w:rPr>
          <w:color w:val="6E6158"/>
        </w:rPr>
        <w:t>Latham</w:t>
      </w:r>
      <w:r>
        <w:rPr>
          <w:color w:val="6E6158"/>
          <w:spacing w:val="27"/>
        </w:rPr>
        <w:t> </w:t>
      </w:r>
      <w:r>
        <w:rPr>
          <w:color w:val="6E6158"/>
        </w:rPr>
        <w:t>&amp; Watkins in Menlo Park, and Perkins Coie in Seattle.</w:t>
      </w:r>
      <w:r>
        <w:rPr>
          <w:color w:val="6E6158"/>
          <w:spacing w:val="76"/>
        </w:rPr>
        <w:t> </w:t>
      </w:r>
      <w:r>
        <w:rPr>
          <w:color w:val="6E6158"/>
        </w:rPr>
        <w:t>Steve also brings experience from his time as the sole Corporate Counsel for a start-up, handling a range of legal matters. A cum laude</w:t>
      </w:r>
      <w:r>
        <w:rPr>
          <w:color w:val="6E6158"/>
          <w:spacing w:val="40"/>
        </w:rPr>
        <w:t> </w:t>
      </w:r>
      <w:r>
        <w:rPr>
          <w:color w:val="6E6158"/>
        </w:rPr>
        <w:t>graduate of the University of Wisconsin Law School, Steve is licensed in both Washington and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California.</w:t>
      </w:r>
    </w:p>
    <w:p>
      <w:pPr>
        <w:pStyle w:val="BodyText"/>
        <w:spacing w:line="295" w:lineRule="auto" w:before="195"/>
        <w:ind w:right="103"/>
      </w:pP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other</w:t>
      </w:r>
      <w:r>
        <w:rPr>
          <w:color w:val="6E6158"/>
          <w:spacing w:val="12"/>
        </w:rPr>
        <w:t> </w:t>
      </w:r>
      <w:r>
        <w:rPr>
          <w:color w:val="6E6158"/>
        </w:rPr>
        <w:t>lives,</w:t>
      </w:r>
      <w:r>
        <w:rPr>
          <w:color w:val="6E6158"/>
          <w:spacing w:val="12"/>
        </w:rPr>
        <w:t> </w:t>
      </w:r>
      <w:r>
        <w:rPr>
          <w:color w:val="6E6158"/>
        </w:rPr>
        <w:t>Steve</w:t>
      </w:r>
      <w:r>
        <w:rPr>
          <w:color w:val="6E6158"/>
          <w:spacing w:val="12"/>
        </w:rPr>
        <w:t> </w:t>
      </w:r>
      <w:r>
        <w:rPr>
          <w:color w:val="6E6158"/>
        </w:rPr>
        <w:t>taught</w:t>
      </w:r>
      <w:r>
        <w:rPr>
          <w:color w:val="6E6158"/>
          <w:spacing w:val="12"/>
        </w:rPr>
        <w:t> </w:t>
      </w:r>
      <w:r>
        <w:rPr>
          <w:color w:val="6E6158"/>
        </w:rPr>
        <w:t>high</w:t>
      </w:r>
      <w:r>
        <w:rPr>
          <w:color w:val="6E6158"/>
          <w:spacing w:val="12"/>
        </w:rPr>
        <w:t> </w:t>
      </w:r>
      <w:r>
        <w:rPr>
          <w:color w:val="6E6158"/>
        </w:rPr>
        <w:t>school,</w:t>
      </w:r>
      <w:r>
        <w:rPr>
          <w:color w:val="6E6158"/>
          <w:spacing w:val="12"/>
        </w:rPr>
        <w:t> </w:t>
      </w:r>
      <w:r>
        <w:rPr>
          <w:color w:val="6E6158"/>
        </w:rPr>
        <w:t>was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free-lance</w:t>
      </w:r>
      <w:r>
        <w:rPr>
          <w:color w:val="6E6158"/>
          <w:spacing w:val="12"/>
        </w:rPr>
        <w:t> </w:t>
      </w:r>
      <w:r>
        <w:rPr>
          <w:color w:val="6E6158"/>
        </w:rPr>
        <w:t>writer,</w:t>
      </w:r>
      <w:r>
        <w:rPr>
          <w:color w:val="6E6158"/>
          <w:spacing w:val="12"/>
        </w:rPr>
        <w:t> </w:t>
      </w:r>
      <w:r>
        <w:rPr>
          <w:color w:val="6E6158"/>
        </w:rPr>
        <w:t>did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stint</w:t>
      </w:r>
      <w:r>
        <w:rPr>
          <w:color w:val="6E6158"/>
          <w:spacing w:val="12"/>
        </w:rPr>
        <w:t> </w:t>
      </w:r>
      <w:r>
        <w:rPr>
          <w:color w:val="6E6158"/>
        </w:rPr>
        <w:t>as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chef,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worked in a nightclub. Steve lives on Bainbridge Island with the lovely and talented Gretchen and their</w:t>
      </w:r>
      <w:r>
        <w:rPr>
          <w:color w:val="6E6158"/>
          <w:spacing w:val="40"/>
        </w:rPr>
        <w:t> </w:t>
      </w:r>
      <w:r>
        <w:rPr>
          <w:color w:val="6E6158"/>
        </w:rPr>
        <w:t>three children. When not working like a dog or (metaphorically) arm-wrestling with his teenagers,</w:t>
      </w:r>
      <w:r>
        <w:rPr>
          <w:color w:val="6E6158"/>
          <w:spacing w:val="40"/>
        </w:rPr>
        <w:t> </w:t>
      </w:r>
      <w:r>
        <w:rPr>
          <w:color w:val="6E6158"/>
        </w:rPr>
        <w:t>Steve</w:t>
      </w:r>
      <w:r>
        <w:rPr>
          <w:color w:val="6E6158"/>
          <w:spacing w:val="22"/>
        </w:rPr>
        <w:t> </w:t>
      </w:r>
      <w:r>
        <w:rPr>
          <w:color w:val="6E6158"/>
        </w:rPr>
        <w:t>likes</w:t>
      </w:r>
      <w:r>
        <w:rPr>
          <w:color w:val="6E6158"/>
          <w:spacing w:val="22"/>
        </w:rPr>
        <w:t> </w:t>
      </w:r>
      <w:r>
        <w:rPr>
          <w:color w:val="6E6158"/>
        </w:rPr>
        <w:t>piña</w:t>
      </w:r>
      <w:r>
        <w:rPr>
          <w:color w:val="6E6158"/>
          <w:spacing w:val="22"/>
        </w:rPr>
        <w:t> </w:t>
      </w:r>
      <w:r>
        <w:rPr>
          <w:color w:val="6E6158"/>
        </w:rPr>
        <w:t>coladas,</w:t>
      </w:r>
      <w:r>
        <w:rPr>
          <w:color w:val="6E6158"/>
          <w:spacing w:val="22"/>
        </w:rPr>
        <w:t> </w:t>
      </w:r>
      <w:r>
        <w:rPr>
          <w:color w:val="6E6158"/>
        </w:rPr>
        <w:t>getting</w:t>
      </w:r>
      <w:r>
        <w:rPr>
          <w:color w:val="6E6158"/>
          <w:spacing w:val="22"/>
        </w:rPr>
        <w:t> </w:t>
      </w:r>
      <w:r>
        <w:rPr>
          <w:color w:val="6E6158"/>
        </w:rPr>
        <w:t>caught</w:t>
      </w:r>
      <w:r>
        <w:rPr>
          <w:color w:val="6E6158"/>
          <w:spacing w:val="22"/>
        </w:rPr>
        <w:t> </w:t>
      </w:r>
      <w:r>
        <w:rPr>
          <w:color w:val="6E6158"/>
        </w:rPr>
        <w:t>in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rain,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feel</w:t>
      </w:r>
      <w:r>
        <w:rPr>
          <w:color w:val="6E6158"/>
          <w:spacing w:val="22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ocean</w:t>
      </w:r>
      <w:r>
        <w:rPr>
          <w:color w:val="6E6158"/>
          <w:spacing w:val="22"/>
        </w:rPr>
        <w:t> </w:t>
      </w:r>
      <w:r>
        <w:rPr>
          <w:color w:val="6E6158"/>
        </w:rPr>
        <w:t>and,</w:t>
      </w:r>
      <w:r>
        <w:rPr>
          <w:color w:val="6E6158"/>
          <w:spacing w:val="22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course,</w:t>
      </w:r>
      <w:r>
        <w:rPr>
          <w:color w:val="6E6158"/>
          <w:spacing w:val="22"/>
        </w:rPr>
        <w:t> </w:t>
      </w:r>
      <w:r>
        <w:rPr>
          <w:color w:val="6E6158"/>
        </w:rPr>
        <w:t>the taste of champagne.</w:t>
      </w:r>
    </w:p>
    <w:p>
      <w:pPr>
        <w:pStyle w:val="Heading1"/>
        <w:spacing w:before="161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spacing w:before="1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J.D.,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Wisconsin,</w:t>
      </w:r>
      <w:r>
        <w:rPr>
          <w:color w:val="6E6158"/>
          <w:spacing w:val="10"/>
          <w:sz w:val="1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9"/>
      </w:pPr>
      <w:r>
        <w:rPr>
          <w:color w:val="6E6158"/>
        </w:rPr>
        <w:t>B.A.,</w:t>
      </w:r>
      <w:r>
        <w:rPr>
          <w:color w:val="6E6158"/>
          <w:spacing w:val="12"/>
        </w:rPr>
        <w:t> </w:t>
      </w:r>
      <w:r>
        <w:rPr>
          <w:color w:val="6E6158"/>
        </w:rPr>
        <w:t>Williams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College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7078"/>
      </w:pPr>
      <w:r>
        <w:rPr>
          <w:color w:val="6E6158"/>
        </w:rPr>
        <w:t>Business Litigation</w:t>
      </w:r>
      <w:r>
        <w:rPr>
          <w:color w:val="6E6158"/>
          <w:spacing w:val="80"/>
        </w:rPr>
        <w:t> </w:t>
      </w:r>
      <w:r>
        <w:rPr>
          <w:color w:val="6E6158"/>
        </w:rPr>
        <w:t>Estate Litigation Intellectual Property Labor &amp; Employment Privacy &amp; Data </w:t>
      </w:r>
      <w:r>
        <w:rPr>
          <w:color w:val="6E6158"/>
        </w:rPr>
        <w:t>Security</w:t>
      </w:r>
    </w:p>
    <w:p>
      <w:pPr>
        <w:pStyle w:val="BodyText"/>
        <w:spacing w:after="0" w:line="42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right="7347"/>
      </w:pPr>
      <w:r>
        <w:rPr>
          <w:color w:val="6E6158"/>
        </w:rPr>
        <w:t>Professional </w:t>
      </w:r>
      <w:r>
        <w:rPr>
          <w:color w:val="6E6158"/>
        </w:rPr>
        <w:t>Liability Eminent Domain</w:t>
      </w:r>
    </w:p>
    <w:p>
      <w:pPr>
        <w:pStyle w:val="Heading1"/>
        <w:spacing w:before="290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18"/>
        <w:ind w:left="0"/>
        <w:rPr>
          <w:b/>
        </w:rPr>
      </w:pPr>
    </w:p>
    <w:p>
      <w:pPr>
        <w:pStyle w:val="BodyText"/>
        <w:spacing w:line="290" w:lineRule="auto"/>
        <w:ind w:right="164"/>
      </w:pPr>
      <w:r>
        <w:rPr>
          <w:b/>
          <w:i/>
          <w:color w:val="6E6158"/>
          <w:sz w:val="20"/>
        </w:rPr>
        <w:t>Landis v. PFD and Baseball of Seattle.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Defended claims under the Americans with Disabilities Act regarding sightlines, distribution, and pricing for accessible seats at T-Mobile Park; obtained</w:t>
      </w:r>
      <w:r>
        <w:rPr>
          <w:color w:val="6E6158"/>
          <w:spacing w:val="40"/>
        </w:rPr>
        <w:t> </w:t>
      </w:r>
      <w:r>
        <w:rPr>
          <w:color w:val="6E6158"/>
        </w:rPr>
        <w:t>defense</w:t>
      </w:r>
      <w:r>
        <w:rPr>
          <w:color w:val="6E6158"/>
          <w:spacing w:val="32"/>
        </w:rPr>
        <w:t> </w:t>
      </w:r>
      <w:r>
        <w:rPr>
          <w:color w:val="6E6158"/>
        </w:rPr>
        <w:t>verdict</w:t>
      </w:r>
      <w:r>
        <w:rPr>
          <w:color w:val="6E6158"/>
          <w:spacing w:val="32"/>
        </w:rPr>
        <w:t> </w:t>
      </w:r>
      <w:r>
        <w:rPr>
          <w:color w:val="6E6158"/>
        </w:rPr>
        <w:t>at</w:t>
      </w:r>
      <w:r>
        <w:rPr>
          <w:color w:val="6E6158"/>
          <w:spacing w:val="32"/>
        </w:rPr>
        <w:t> </w:t>
      </w:r>
      <w:r>
        <w:rPr>
          <w:color w:val="6E6158"/>
        </w:rPr>
        <w:t>trial,</w:t>
      </w:r>
      <w:r>
        <w:rPr>
          <w:color w:val="6E6158"/>
          <w:spacing w:val="32"/>
        </w:rPr>
        <w:t> </w:t>
      </w:r>
      <w:r>
        <w:rPr>
          <w:color w:val="6E6158"/>
        </w:rPr>
        <w:t>partial</w:t>
      </w:r>
      <w:r>
        <w:rPr>
          <w:color w:val="6E6158"/>
          <w:spacing w:val="32"/>
        </w:rPr>
        <w:t> </w:t>
      </w:r>
      <w:r>
        <w:rPr>
          <w:color w:val="6E6158"/>
        </w:rPr>
        <w:t>affirmance</w:t>
      </w:r>
      <w:r>
        <w:rPr>
          <w:color w:val="6E6158"/>
          <w:spacing w:val="32"/>
        </w:rPr>
        <w:t> </w:t>
      </w:r>
      <w:r>
        <w:rPr>
          <w:color w:val="6E6158"/>
        </w:rPr>
        <w:t>on</w:t>
      </w:r>
      <w:r>
        <w:rPr>
          <w:color w:val="6E6158"/>
          <w:spacing w:val="32"/>
        </w:rPr>
        <w:t> </w:t>
      </w:r>
      <w:r>
        <w:rPr>
          <w:color w:val="6E6158"/>
        </w:rPr>
        <w:t>appeal,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complete</w:t>
      </w:r>
      <w:r>
        <w:rPr>
          <w:color w:val="6E6158"/>
          <w:spacing w:val="32"/>
        </w:rPr>
        <w:t> </w:t>
      </w:r>
      <w:r>
        <w:rPr>
          <w:color w:val="6E6158"/>
        </w:rPr>
        <w:t>defense</w:t>
      </w:r>
      <w:r>
        <w:rPr>
          <w:color w:val="6E6158"/>
          <w:spacing w:val="32"/>
        </w:rPr>
        <w:t> </w:t>
      </w:r>
      <w:r>
        <w:rPr>
          <w:color w:val="6E6158"/>
        </w:rPr>
        <w:t>judgment</w:t>
      </w:r>
      <w:r>
        <w:rPr>
          <w:color w:val="6E6158"/>
          <w:spacing w:val="32"/>
        </w:rPr>
        <w:t> </w:t>
      </w:r>
      <w:r>
        <w:rPr>
          <w:color w:val="6E6158"/>
        </w:rPr>
        <w:t>on</w:t>
      </w:r>
    </w:p>
    <w:p>
      <w:pPr>
        <w:pStyle w:val="BodyText"/>
        <w:spacing w:before="4"/>
      </w:pPr>
      <w:r>
        <w:rPr>
          <w:color w:val="6E6158"/>
          <w:spacing w:val="-2"/>
        </w:rPr>
        <w:t>remand.</w:t>
      </w:r>
    </w:p>
    <w:p>
      <w:pPr>
        <w:spacing w:line="288" w:lineRule="auto" w:before="172"/>
        <w:ind w:left="99" w:right="0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Nippon</w:t>
      </w:r>
      <w:r>
        <w:rPr>
          <w:b/>
          <w:i/>
          <w:color w:val="6E6158"/>
          <w:spacing w:val="-12"/>
          <w:sz w:val="20"/>
        </w:rPr>
        <w:t> </w:t>
      </w:r>
      <w:r>
        <w:rPr>
          <w:b/>
          <w:i/>
          <w:color w:val="6E6158"/>
          <w:sz w:val="20"/>
        </w:rPr>
        <w:t>Dynawave</w:t>
      </w:r>
      <w:r>
        <w:rPr>
          <w:b/>
          <w:i/>
          <w:color w:val="6E6158"/>
          <w:spacing w:val="-12"/>
          <w:sz w:val="20"/>
        </w:rPr>
        <w:t> </w:t>
      </w:r>
      <w:r>
        <w:rPr>
          <w:b/>
          <w:i/>
          <w:color w:val="6E6158"/>
          <w:sz w:val="20"/>
        </w:rPr>
        <w:t>Packaging</w:t>
      </w:r>
      <w:r>
        <w:rPr>
          <w:b/>
          <w:i/>
          <w:color w:val="6E6158"/>
          <w:spacing w:val="-12"/>
          <w:sz w:val="20"/>
        </w:rPr>
        <w:t> </w:t>
      </w:r>
      <w:r>
        <w:rPr>
          <w:b/>
          <w:i/>
          <w:color w:val="6E6158"/>
          <w:sz w:val="20"/>
        </w:rPr>
        <w:t>Co.</w:t>
      </w:r>
      <w:r>
        <w:rPr>
          <w:b/>
          <w:i/>
          <w:color w:val="6E6158"/>
          <w:spacing w:val="-12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12"/>
          <w:sz w:val="20"/>
        </w:rPr>
        <w:t> </w:t>
      </w:r>
      <w:r>
        <w:rPr>
          <w:b/>
          <w:i/>
          <w:color w:val="6E6158"/>
          <w:sz w:val="20"/>
        </w:rPr>
        <w:t>North</w:t>
      </w:r>
      <w:r>
        <w:rPr>
          <w:b/>
          <w:i/>
          <w:color w:val="6E6158"/>
          <w:spacing w:val="-12"/>
          <w:sz w:val="20"/>
        </w:rPr>
        <w:t> </w:t>
      </w:r>
      <w:r>
        <w:rPr>
          <w:b/>
          <w:i/>
          <w:color w:val="6E6158"/>
          <w:sz w:val="20"/>
        </w:rPr>
        <w:t>Pacific</w:t>
      </w:r>
      <w:r>
        <w:rPr>
          <w:b/>
          <w:i/>
          <w:color w:val="6E6158"/>
          <w:spacing w:val="-12"/>
          <w:sz w:val="20"/>
        </w:rPr>
        <w:t> </w:t>
      </w:r>
      <w:r>
        <w:rPr>
          <w:b/>
          <w:i/>
          <w:color w:val="6E6158"/>
          <w:sz w:val="20"/>
        </w:rPr>
        <w:t>Paper</w:t>
      </w:r>
      <w:r>
        <w:rPr>
          <w:b/>
          <w:i/>
          <w:color w:val="6E6158"/>
          <w:spacing w:val="-12"/>
          <w:sz w:val="20"/>
        </w:rPr>
        <w:t> </w:t>
      </w:r>
      <w:r>
        <w:rPr>
          <w:b/>
          <w:i/>
          <w:color w:val="6E6158"/>
          <w:sz w:val="20"/>
        </w:rPr>
        <w:t>Company.</w:t>
      </w:r>
      <w:r>
        <w:rPr>
          <w:b/>
          <w:i/>
          <w:color w:val="6E6158"/>
          <w:spacing w:val="31"/>
          <w:sz w:val="20"/>
        </w:rPr>
        <w:t> </w:t>
      </w:r>
      <w:r>
        <w:rPr>
          <w:color w:val="6E6158"/>
          <w:sz w:val="19"/>
        </w:rPr>
        <w:t>Prosecuted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claims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and defended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counterclaims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arising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from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site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services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agreement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interconnected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industrial</w:t>
      </w:r>
    </w:p>
    <w:p>
      <w:pPr>
        <w:pStyle w:val="BodyText"/>
        <w:spacing w:before="6"/>
      </w:pPr>
      <w:r>
        <w:rPr>
          <w:color w:val="6E6158"/>
        </w:rPr>
        <w:t>facilities;</w:t>
      </w:r>
      <w:r>
        <w:rPr>
          <w:color w:val="6E6158"/>
          <w:spacing w:val="17"/>
        </w:rPr>
        <w:t> </w:t>
      </w:r>
      <w:r>
        <w:rPr>
          <w:color w:val="6E6158"/>
        </w:rPr>
        <w:t>obtained</w:t>
      </w:r>
      <w:r>
        <w:rPr>
          <w:color w:val="6E6158"/>
          <w:spacing w:val="18"/>
        </w:rPr>
        <w:t> </w:t>
      </w:r>
      <w:r>
        <w:rPr>
          <w:color w:val="6E6158"/>
        </w:rPr>
        <w:t>favorable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settlement.</w:t>
      </w:r>
    </w:p>
    <w:p>
      <w:pPr>
        <w:pStyle w:val="BodyText"/>
        <w:spacing w:line="295" w:lineRule="auto" w:before="164"/>
        <w:ind w:right="129"/>
      </w:pPr>
      <w:r>
        <w:rPr>
          <w:b/>
          <w:i/>
          <w:color w:val="6E6158"/>
          <w:sz w:val="20"/>
        </w:rPr>
        <w:t>InfoFlows v. Corbis.</w:t>
      </w:r>
      <w:r>
        <w:rPr>
          <w:b/>
          <w:i/>
          <w:color w:val="6E6158"/>
          <w:spacing w:val="80"/>
          <w:sz w:val="20"/>
        </w:rPr>
        <w:t> </w:t>
      </w:r>
      <w:r>
        <w:rPr>
          <w:color w:val="6E6158"/>
        </w:rPr>
        <w:t>Prosecuted</w:t>
      </w:r>
      <w:r>
        <w:rPr>
          <w:color w:val="6E6158"/>
          <w:spacing w:val="19"/>
        </w:rPr>
        <w:t> </w:t>
      </w:r>
      <w:r>
        <w:rPr>
          <w:color w:val="6E6158"/>
        </w:rPr>
        <w:t>claims</w:t>
      </w:r>
      <w:r>
        <w:rPr>
          <w:color w:val="6E6158"/>
          <w:spacing w:val="19"/>
        </w:rPr>
        <w:t> </w:t>
      </w:r>
      <w:r>
        <w:rPr>
          <w:color w:val="6E6158"/>
        </w:rPr>
        <w:t>for</w:t>
      </w:r>
      <w:r>
        <w:rPr>
          <w:color w:val="6E6158"/>
          <w:spacing w:val="19"/>
        </w:rPr>
        <w:t> </w:t>
      </w:r>
      <w:r>
        <w:rPr>
          <w:color w:val="6E6158"/>
        </w:rPr>
        <w:t>misappropriation</w:t>
      </w:r>
      <w:r>
        <w:rPr>
          <w:color w:val="6E6158"/>
          <w:spacing w:val="19"/>
        </w:rPr>
        <w:t> </w:t>
      </w:r>
      <w:r>
        <w:rPr>
          <w:color w:val="6E6158"/>
        </w:rPr>
        <w:t>of</w:t>
      </w:r>
      <w:r>
        <w:rPr>
          <w:color w:val="6E6158"/>
          <w:spacing w:val="19"/>
        </w:rPr>
        <w:t> </w:t>
      </w:r>
      <w:r>
        <w:rPr>
          <w:color w:val="6E6158"/>
        </w:rPr>
        <w:t>trade</w:t>
      </w:r>
      <w:r>
        <w:rPr>
          <w:color w:val="6E6158"/>
          <w:spacing w:val="19"/>
        </w:rPr>
        <w:t> </w:t>
      </w:r>
      <w:r>
        <w:rPr>
          <w:color w:val="6E6158"/>
        </w:rPr>
        <w:t>secrets,</w:t>
      </w:r>
      <w:r>
        <w:rPr>
          <w:color w:val="6E6158"/>
          <w:spacing w:val="19"/>
        </w:rPr>
        <w:t> </w:t>
      </w:r>
      <w:r>
        <w:rPr>
          <w:color w:val="6E6158"/>
        </w:rPr>
        <w:t>fraud</w:t>
      </w:r>
      <w:r>
        <w:rPr>
          <w:color w:val="6E6158"/>
          <w:spacing w:val="19"/>
        </w:rPr>
        <w:t> </w:t>
      </w:r>
      <w:r>
        <w:rPr>
          <w:color w:val="6E6158"/>
        </w:rPr>
        <w:t>and</w:t>
      </w:r>
      <w:r>
        <w:rPr>
          <w:color w:val="6E6158"/>
          <w:spacing w:val="19"/>
        </w:rPr>
        <w:t> </w:t>
      </w:r>
      <w:r>
        <w:rPr>
          <w:color w:val="6E6158"/>
        </w:rPr>
        <w:t>breach of contract relating to digital image tracking technology, and defended related </w:t>
      </w:r>
      <w:r>
        <w:rPr>
          <w:color w:val="6E6158"/>
        </w:rPr>
        <w:t>counterclaims;</w:t>
      </w:r>
      <w:r>
        <w:rPr>
          <w:color w:val="6E6158"/>
          <w:spacing w:val="40"/>
        </w:rPr>
        <w:t> </w:t>
      </w:r>
      <w:r>
        <w:rPr>
          <w:color w:val="6E6158"/>
        </w:rPr>
        <w:t>obtained $36 million jury verdict and defeated counterclaims in three-week trial.</w:t>
      </w:r>
    </w:p>
    <w:p>
      <w:pPr>
        <w:pStyle w:val="BodyText"/>
        <w:spacing w:line="295" w:lineRule="auto" w:before="109"/>
      </w:pPr>
      <w:r>
        <w:rPr>
          <w:b/>
          <w:i/>
          <w:color w:val="6E6158"/>
          <w:sz w:val="20"/>
        </w:rPr>
        <w:t>Reynolds v. Reynolds.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Defended challenge to revocable living trust, by which child sought to dispossess parents as beneficiaries; obtained ruling of declaratory relief that maintained </w:t>
      </w:r>
      <w:r>
        <w:rPr>
          <w:color w:val="6E6158"/>
        </w:rPr>
        <w:t>parents’</w:t>
      </w:r>
      <w:r>
        <w:rPr>
          <w:color w:val="6E6158"/>
          <w:spacing w:val="40"/>
        </w:rPr>
        <w:t> </w:t>
      </w:r>
      <w:r>
        <w:rPr>
          <w:color w:val="6E6158"/>
        </w:rPr>
        <w:t>beneficiary status and entitlement to trust proceeds after bench trial.</w:t>
      </w:r>
    </w:p>
    <w:p>
      <w:pPr>
        <w:spacing w:line="288" w:lineRule="auto" w:before="110"/>
        <w:ind w:left="99" w:right="129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Kumar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Convenience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Retailers,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LLC,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et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al.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  <w:sz w:val="19"/>
        </w:rPr>
        <w:t>Defended employment discrimination claims </w:t>
      </w:r>
      <w:r>
        <w:rPr>
          <w:color w:val="6E6158"/>
          <w:sz w:val="19"/>
        </w:rPr>
        <w:t>under Title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VII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Washington’s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Law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Against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Discrimination;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obtained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defense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verdict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at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trial.</w:t>
      </w:r>
    </w:p>
    <w:p>
      <w:pPr>
        <w:spacing w:line="288" w:lineRule="auto" w:before="126"/>
        <w:ind w:left="99" w:right="0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Sornsin, et al. v. Scout Media, et al.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  <w:sz w:val="19"/>
        </w:rPr>
        <w:t>Defended officers and directors of defunct media company against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statutory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wage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claims;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obtained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summary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judgment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dismissal,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affirmed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on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appeal.</w:t>
      </w:r>
    </w:p>
    <w:p>
      <w:pPr>
        <w:pStyle w:val="BodyText"/>
        <w:spacing w:line="295" w:lineRule="auto" w:before="118"/>
        <w:ind w:right="231"/>
      </w:pPr>
      <w:r>
        <w:rPr>
          <w:b/>
          <w:i/>
          <w:color w:val="6E6158"/>
          <w:sz w:val="20"/>
        </w:rPr>
        <w:t>Optistor Technologies v. Nutanix et al.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Defended cloud software and infrastructure-solution provider and its employee against claims for breach of contract, trade secret </w:t>
      </w:r>
      <w:r>
        <w:rPr>
          <w:color w:val="6E6158"/>
        </w:rPr>
        <w:t>misappropriation,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tortious</w:t>
      </w:r>
      <w:r>
        <w:rPr>
          <w:color w:val="6E6158"/>
          <w:spacing w:val="40"/>
        </w:rPr>
        <w:t> </w:t>
      </w:r>
      <w:r>
        <w:rPr>
          <w:color w:val="6E6158"/>
        </w:rPr>
        <w:t>interference;</w:t>
      </w:r>
      <w:r>
        <w:rPr>
          <w:color w:val="6E6158"/>
          <w:spacing w:val="40"/>
        </w:rPr>
        <w:t> </w:t>
      </w:r>
      <w:r>
        <w:rPr>
          <w:color w:val="6E6158"/>
        </w:rPr>
        <w:t>obtained</w:t>
      </w:r>
      <w:r>
        <w:rPr>
          <w:color w:val="6E6158"/>
          <w:spacing w:val="40"/>
        </w:rPr>
        <w:t> </w:t>
      </w:r>
      <w:r>
        <w:rPr>
          <w:color w:val="6E6158"/>
        </w:rPr>
        <w:t>summary</w:t>
      </w:r>
      <w:r>
        <w:rPr>
          <w:color w:val="6E6158"/>
          <w:spacing w:val="40"/>
        </w:rPr>
        <w:t> </w:t>
      </w:r>
      <w:r>
        <w:rPr>
          <w:color w:val="6E6158"/>
        </w:rPr>
        <w:t>judgment</w:t>
      </w:r>
      <w:r>
        <w:rPr>
          <w:color w:val="6E6158"/>
          <w:spacing w:val="40"/>
        </w:rPr>
        <w:t> </w:t>
      </w:r>
      <w:r>
        <w:rPr>
          <w:color w:val="6E6158"/>
        </w:rPr>
        <w:t>ruling,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voiding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employee</w:t>
      </w:r>
    </w:p>
    <w:p>
      <w:pPr>
        <w:pStyle w:val="BodyText"/>
        <w:spacing w:line="231" w:lineRule="exact"/>
      </w:pPr>
      <w:r>
        <w:rPr>
          <w:color w:val="6E6158"/>
        </w:rPr>
        <w:t>non-compete,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then</w:t>
      </w:r>
      <w:r>
        <w:rPr>
          <w:color w:val="6E6158"/>
          <w:spacing w:val="16"/>
        </w:rPr>
        <w:t> </w:t>
      </w:r>
      <w:r>
        <w:rPr>
          <w:color w:val="6E6158"/>
        </w:rPr>
        <w:t>favorable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settlement.</w:t>
      </w:r>
    </w:p>
    <w:p>
      <w:pPr>
        <w:pStyle w:val="BodyText"/>
        <w:spacing w:line="295" w:lineRule="auto" w:before="164"/>
        <w:ind w:right="385"/>
      </w:pPr>
      <w:r>
        <w:rPr>
          <w:b/>
          <w:i/>
          <w:color w:val="6E6158"/>
          <w:sz w:val="20"/>
        </w:rPr>
        <w:t>Shareholder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Insite,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Inc.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WTAS,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LLC,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et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al.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Prosecuted claims for breach of contract, trade secret misappropriation, tortious interference, and civil conspiracy; obtained preliminary</w:t>
      </w:r>
      <w:r>
        <w:rPr>
          <w:color w:val="6E6158"/>
          <w:spacing w:val="40"/>
        </w:rPr>
        <w:t> </w:t>
      </w:r>
      <w:r>
        <w:rPr>
          <w:color w:val="6E6158"/>
        </w:rPr>
        <w:t>injunction after expedited discovery, and then favorable settlement.</w:t>
      </w:r>
    </w:p>
    <w:p>
      <w:pPr>
        <w:pStyle w:val="BodyText"/>
        <w:spacing w:line="295" w:lineRule="auto" w:before="110"/>
        <w:ind w:right="231"/>
      </w:pPr>
      <w:r>
        <w:rPr>
          <w:b/>
          <w:i/>
          <w:color w:val="6E6158"/>
          <w:sz w:val="20"/>
        </w:rPr>
        <w:t>ChemPoint v. Xenon Arc Inc., et al.</w:t>
      </w:r>
      <w:r>
        <w:rPr>
          <w:b/>
          <w:i/>
          <w:color w:val="6E6158"/>
          <w:spacing w:val="80"/>
          <w:sz w:val="20"/>
        </w:rPr>
        <w:t> </w:t>
      </w:r>
      <w:r>
        <w:rPr>
          <w:color w:val="6E6158"/>
        </w:rPr>
        <w:t>Defended technology startup and founders against claims for misappropriation of trade secrets, false advertising, usurpation of corporate opportunity and</w:t>
      </w:r>
      <w:r>
        <w:rPr>
          <w:color w:val="6E6158"/>
          <w:spacing w:val="40"/>
        </w:rPr>
        <w:t> </w:t>
      </w:r>
      <w:r>
        <w:rPr>
          <w:color w:val="6E6158"/>
        </w:rPr>
        <w:t>breach of fiduciary duty; obtained ruling entitling clients to advancement of fees under </w:t>
      </w:r>
      <w:r>
        <w:rPr>
          <w:color w:val="6E6158"/>
        </w:rPr>
        <w:t>plaintiff’s</w:t>
      </w:r>
      <w:r>
        <w:rPr>
          <w:color w:val="6E6158"/>
          <w:spacing w:val="40"/>
        </w:rPr>
        <w:t> </w:t>
      </w:r>
      <w:r>
        <w:rPr>
          <w:color w:val="6E6158"/>
        </w:rPr>
        <w:t>articles</w:t>
      </w:r>
      <w:r>
        <w:rPr>
          <w:color w:val="6E6158"/>
          <w:spacing w:val="39"/>
        </w:rPr>
        <w:t> </w:t>
      </w:r>
      <w:r>
        <w:rPr>
          <w:color w:val="6E6158"/>
        </w:rPr>
        <w:t>of</w:t>
      </w:r>
      <w:r>
        <w:rPr>
          <w:color w:val="6E6158"/>
          <w:spacing w:val="39"/>
        </w:rPr>
        <w:t> </w:t>
      </w:r>
      <w:r>
        <w:rPr>
          <w:color w:val="6E6158"/>
        </w:rPr>
        <w:t>incorporation;</w:t>
      </w:r>
      <w:r>
        <w:rPr>
          <w:color w:val="6E6158"/>
          <w:spacing w:val="39"/>
        </w:rPr>
        <w:t> </w:t>
      </w:r>
      <w:r>
        <w:rPr>
          <w:color w:val="6E6158"/>
        </w:rPr>
        <w:t>obtained</w:t>
      </w:r>
      <w:r>
        <w:rPr>
          <w:color w:val="6E6158"/>
          <w:spacing w:val="39"/>
        </w:rPr>
        <w:t> </w:t>
      </w:r>
      <w:r>
        <w:rPr>
          <w:color w:val="6E6158"/>
        </w:rPr>
        <w:t>partial</w:t>
      </w:r>
      <w:r>
        <w:rPr>
          <w:color w:val="6E6158"/>
          <w:spacing w:val="39"/>
        </w:rPr>
        <w:t> </w:t>
      </w:r>
      <w:r>
        <w:rPr>
          <w:color w:val="6E6158"/>
        </w:rPr>
        <w:t>summary</w:t>
      </w:r>
      <w:r>
        <w:rPr>
          <w:color w:val="6E6158"/>
          <w:spacing w:val="39"/>
        </w:rPr>
        <w:t> </w:t>
      </w:r>
      <w:r>
        <w:rPr>
          <w:color w:val="6E6158"/>
        </w:rPr>
        <w:t>judgment,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then</w:t>
      </w:r>
      <w:r>
        <w:rPr>
          <w:color w:val="6E6158"/>
          <w:spacing w:val="39"/>
        </w:rPr>
        <w:t> </w:t>
      </w:r>
      <w:r>
        <w:rPr>
          <w:color w:val="6E6158"/>
        </w:rPr>
        <w:t>favorable</w:t>
      </w:r>
      <w:r>
        <w:rPr>
          <w:color w:val="6E6158"/>
          <w:spacing w:val="39"/>
        </w:rPr>
        <w:t> </w:t>
      </w:r>
      <w:r>
        <w:rPr>
          <w:color w:val="6E6158"/>
        </w:rPr>
        <w:t>settlement.</w:t>
      </w:r>
    </w:p>
    <w:p>
      <w:pPr>
        <w:pStyle w:val="BodyText"/>
        <w:spacing w:line="295" w:lineRule="auto" w:before="108"/>
        <w:ind w:right="385"/>
      </w:pPr>
      <w:r>
        <w:rPr>
          <w:b/>
          <w:i/>
          <w:color w:val="6E6158"/>
          <w:sz w:val="20"/>
        </w:rPr>
        <w:t>Maier v. Sesame Communications Inc.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Prosecuted claims for breach of employment agreement, wage and hour law violations, and tortious interference with exercise of stock</w:t>
      </w:r>
      <w:r>
        <w:rPr>
          <w:color w:val="6E6158"/>
          <w:spacing w:val="40"/>
        </w:rPr>
        <w:t> </w:t>
      </w:r>
      <w:r>
        <w:rPr>
          <w:color w:val="6E6158"/>
        </w:rPr>
        <w:t>options arising from termination of company founder and CEO’s employment; obtained</w:t>
      </w:r>
      <w:r>
        <w:rPr>
          <w:color w:val="6E6158"/>
          <w:spacing w:val="40"/>
        </w:rPr>
        <w:t> </w:t>
      </w:r>
      <w:r>
        <w:rPr>
          <w:color w:val="6E6158"/>
        </w:rPr>
        <w:t>favorable settlement.</w:t>
      </w:r>
    </w:p>
    <w:p>
      <w:pPr>
        <w:pStyle w:val="BodyText"/>
        <w:spacing w:line="295" w:lineRule="auto" w:before="109"/>
        <w:ind w:right="250"/>
        <w:jc w:val="both"/>
      </w:pPr>
      <w:r>
        <w:rPr>
          <w:b/>
          <w:i/>
          <w:color w:val="6E6158"/>
          <w:sz w:val="20"/>
        </w:rPr>
        <w:t>Amazon v. Expedia.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Defended claims and prosecuted counterclaims for breach of linking and co-branding agreement between national e-commerce giants; defeated motions for </w:t>
      </w:r>
      <w:r>
        <w:rPr>
          <w:color w:val="6E6158"/>
        </w:rPr>
        <w:t>summary judgment, developed counterclaims, and then obtained favorable settlement.</w:t>
      </w:r>
    </w:p>
    <w:p>
      <w:pPr>
        <w:pStyle w:val="BodyText"/>
        <w:spacing w:line="288" w:lineRule="auto" w:before="110"/>
        <w:ind w:right="706"/>
        <w:jc w:val="both"/>
      </w:pPr>
      <w:r>
        <w:rPr>
          <w:b/>
          <w:i/>
          <w:color w:val="6E6158"/>
          <w:sz w:val="20"/>
        </w:rPr>
        <w:t>Confidential Arbitration.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Represented limited partnership in defending a claim for </w:t>
      </w:r>
      <w:r>
        <w:rPr>
          <w:color w:val="6E6158"/>
        </w:rPr>
        <w:t>statutory dissolution</w:t>
      </w:r>
      <w:r>
        <w:rPr>
          <w:color w:val="6E6158"/>
          <w:spacing w:val="36"/>
        </w:rPr>
        <w:t> </w:t>
      </w:r>
      <w:r>
        <w:rPr>
          <w:color w:val="6E6158"/>
        </w:rPr>
        <w:t>brought</w:t>
      </w:r>
      <w:r>
        <w:rPr>
          <w:color w:val="6E6158"/>
          <w:spacing w:val="36"/>
        </w:rPr>
        <w:t> </w:t>
      </w:r>
      <w:r>
        <w:rPr>
          <w:color w:val="6E6158"/>
        </w:rPr>
        <w:t>by</w:t>
      </w:r>
      <w:r>
        <w:rPr>
          <w:color w:val="6E6158"/>
          <w:spacing w:val="36"/>
        </w:rPr>
        <w:t> </w:t>
      </w:r>
      <w:r>
        <w:rPr>
          <w:color w:val="6E6158"/>
        </w:rPr>
        <w:t>its</w:t>
      </w:r>
      <w:r>
        <w:rPr>
          <w:color w:val="6E6158"/>
          <w:spacing w:val="36"/>
        </w:rPr>
        <w:t> </w:t>
      </w:r>
      <w:r>
        <w:rPr>
          <w:color w:val="6E6158"/>
        </w:rPr>
        <w:t>former</w:t>
      </w:r>
      <w:r>
        <w:rPr>
          <w:color w:val="6E6158"/>
          <w:spacing w:val="36"/>
        </w:rPr>
        <w:t> </w:t>
      </w:r>
      <w:r>
        <w:rPr>
          <w:color w:val="6E6158"/>
        </w:rPr>
        <w:t>general</w:t>
      </w:r>
      <w:r>
        <w:rPr>
          <w:color w:val="6E6158"/>
          <w:spacing w:val="36"/>
        </w:rPr>
        <w:t> </w:t>
      </w:r>
      <w:r>
        <w:rPr>
          <w:color w:val="6E6158"/>
        </w:rPr>
        <w:t>partner;</w:t>
      </w:r>
      <w:r>
        <w:rPr>
          <w:color w:val="6E6158"/>
          <w:spacing w:val="36"/>
        </w:rPr>
        <w:t> </w:t>
      </w:r>
      <w:r>
        <w:rPr>
          <w:color w:val="6E6158"/>
        </w:rPr>
        <w:t>obtained</w:t>
      </w:r>
      <w:r>
        <w:rPr>
          <w:color w:val="6E6158"/>
          <w:spacing w:val="36"/>
        </w:rPr>
        <w:t> </w:t>
      </w:r>
      <w:r>
        <w:rPr>
          <w:color w:val="6E6158"/>
        </w:rPr>
        <w:t>award</w:t>
      </w:r>
      <w:r>
        <w:rPr>
          <w:color w:val="6E6158"/>
          <w:spacing w:val="36"/>
        </w:rPr>
        <w:t> </w:t>
      </w:r>
      <w:r>
        <w:rPr>
          <w:color w:val="6E6158"/>
        </w:rPr>
        <w:t>denying</w:t>
      </w:r>
      <w:r>
        <w:rPr>
          <w:color w:val="6E6158"/>
          <w:spacing w:val="36"/>
        </w:rPr>
        <w:t> </w:t>
      </w:r>
      <w:r>
        <w:rPr>
          <w:color w:val="6E6158"/>
        </w:rPr>
        <w:t>claim.</w:t>
      </w:r>
    </w:p>
    <w:p>
      <w:pPr>
        <w:pStyle w:val="BodyText"/>
        <w:spacing w:before="116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Heading1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Best</w:t>
      </w:r>
      <w:r>
        <w:rPr>
          <w:color w:val="6E6158"/>
          <w:spacing w:val="8"/>
        </w:rPr>
        <w:t> </w:t>
      </w:r>
      <w:r>
        <w:rPr>
          <w:color w:val="6E6158"/>
        </w:rPr>
        <w:t>Lawyers</w:t>
      </w:r>
      <w:r>
        <w:rPr>
          <w:color w:val="6E6158"/>
          <w:spacing w:val="8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America,</w:t>
      </w:r>
      <w:r>
        <w:rPr>
          <w:color w:val="6E6158"/>
          <w:spacing w:val="8"/>
        </w:rPr>
        <w:t> </w:t>
      </w:r>
      <w:r>
        <w:rPr>
          <w:color w:val="6E6158"/>
        </w:rPr>
        <w:t>Lawyer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Year,</w:t>
      </w:r>
      <w:r>
        <w:rPr>
          <w:color w:val="6E6158"/>
          <w:spacing w:val="8"/>
        </w:rPr>
        <w:t> </w:t>
      </w:r>
      <w:r>
        <w:rPr>
          <w:color w:val="6E6158"/>
        </w:rPr>
        <w:t>Litigation</w:t>
      </w:r>
      <w:r>
        <w:rPr>
          <w:color w:val="6E6158"/>
          <w:spacing w:val="9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</w:rPr>
        <w:t>Intellectual</w:t>
      </w:r>
      <w:r>
        <w:rPr>
          <w:color w:val="6E6158"/>
          <w:spacing w:val="9"/>
        </w:rPr>
        <w:t> </w:t>
      </w:r>
      <w:r>
        <w:rPr>
          <w:color w:val="6E6158"/>
        </w:rPr>
        <w:t>Property,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2027</w:t>
      </w:r>
    </w:p>
    <w:p>
      <w:pPr>
        <w:pStyle w:val="BodyText"/>
        <w:spacing w:line="302" w:lineRule="auto" w:before="174"/>
        <w:ind w:right="970"/>
      </w:pPr>
      <w:r>
        <w:rPr>
          <w:color w:val="6E6158"/>
        </w:rPr>
        <w:t>Best Lawyers in America, Bet-the-Company Litigation, Commercial Litigation, Litigation </w:t>
      </w:r>
      <w:r>
        <w:rPr>
          <w:color w:val="6E6158"/>
        </w:rPr>
        <w:t>– Intellectual Property, Litigation – Real Estate, 2014-2027</w:t>
      </w:r>
    </w:p>
    <w:p>
      <w:pPr>
        <w:spacing w:line="403" w:lineRule="auto" w:before="113"/>
        <w:ind w:left="99" w:right="3512" w:firstLine="0"/>
        <w:jc w:val="left"/>
        <w:rPr>
          <w:sz w:val="19"/>
        </w:rPr>
      </w:pPr>
      <w:r>
        <w:rPr>
          <w:color w:val="6E6158"/>
          <w:sz w:val="19"/>
        </w:rPr>
        <w:t>Chambers USA Guide to Leading Lawyers, 2013, 2016-</w:t>
      </w:r>
      <w:r>
        <w:rPr>
          <w:color w:val="6E6158"/>
          <w:sz w:val="19"/>
        </w:rPr>
        <w:t>2026 </w:t>
      </w:r>
      <w:r>
        <w:rPr>
          <w:i/>
          <w:color w:val="6E6158"/>
          <w:sz w:val="20"/>
        </w:rPr>
        <w:t>Washington Super Lawyers</w:t>
      </w:r>
      <w:r>
        <w:rPr>
          <w:color w:val="6E6158"/>
          <w:sz w:val="19"/>
        </w:rPr>
        <w:t>®, Business Litigation, 2006-2026 </w:t>
      </w:r>
      <w:r>
        <w:rPr>
          <w:i/>
          <w:color w:val="6E6158"/>
          <w:sz w:val="20"/>
        </w:rPr>
        <w:t>Washington Super Lawyers</w:t>
      </w:r>
      <w:r>
        <w:rPr>
          <w:color w:val="6E6158"/>
          <w:sz w:val="19"/>
        </w:rPr>
        <w:t>®, Top 100 List, 2017-2026</w:t>
      </w:r>
    </w:p>
    <w:p>
      <w:pPr>
        <w:pStyle w:val="BodyText"/>
        <w:spacing w:before="13"/>
      </w:pPr>
      <w:r>
        <w:rPr>
          <w:color w:val="6E6158"/>
        </w:rPr>
        <w:t>BTI</w:t>
      </w:r>
      <w:r>
        <w:rPr>
          <w:color w:val="6E6158"/>
          <w:spacing w:val="7"/>
        </w:rPr>
        <w:t> </w:t>
      </w:r>
      <w:r>
        <w:rPr>
          <w:color w:val="6E6158"/>
        </w:rPr>
        <w:t>Client</w:t>
      </w:r>
      <w:r>
        <w:rPr>
          <w:color w:val="6E6158"/>
          <w:spacing w:val="7"/>
        </w:rPr>
        <w:t> </w:t>
      </w:r>
      <w:r>
        <w:rPr>
          <w:color w:val="6E6158"/>
        </w:rPr>
        <w:t>Service</w:t>
      </w:r>
      <w:r>
        <w:rPr>
          <w:color w:val="6E6158"/>
          <w:spacing w:val="7"/>
        </w:rPr>
        <w:t> </w:t>
      </w:r>
      <w:r>
        <w:rPr>
          <w:color w:val="6E6158"/>
        </w:rPr>
        <w:t>All-Star,</w:t>
      </w:r>
      <w:r>
        <w:rPr>
          <w:color w:val="6E6158"/>
          <w:spacing w:val="7"/>
        </w:rPr>
        <w:t> </w:t>
      </w:r>
      <w:r>
        <w:rPr>
          <w:color w:val="6E6158"/>
        </w:rPr>
        <w:t>2015,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before="174"/>
      </w:pPr>
      <w:r>
        <w:rPr>
          <w:color w:val="6E6158"/>
        </w:rPr>
        <w:t>“Washington’s</w:t>
      </w:r>
      <w:r>
        <w:rPr>
          <w:color w:val="6E6158"/>
          <w:spacing w:val="16"/>
        </w:rPr>
        <w:t> </w:t>
      </w:r>
      <w:r>
        <w:rPr>
          <w:color w:val="6E6158"/>
        </w:rPr>
        <w:t>Most</w:t>
      </w:r>
      <w:r>
        <w:rPr>
          <w:color w:val="6E6158"/>
          <w:spacing w:val="16"/>
        </w:rPr>
        <w:t> </w:t>
      </w:r>
      <w:r>
        <w:rPr>
          <w:color w:val="6E6158"/>
        </w:rPr>
        <w:t>Amazing</w:t>
      </w:r>
      <w:r>
        <w:rPr>
          <w:color w:val="6E6158"/>
          <w:spacing w:val="16"/>
        </w:rPr>
        <w:t> </w:t>
      </w:r>
      <w:r>
        <w:rPr>
          <w:color w:val="6E6158"/>
        </w:rPr>
        <w:t>Attorneys”,</w:t>
      </w:r>
      <w:r>
        <w:rPr>
          <w:color w:val="6E6158"/>
          <w:spacing w:val="16"/>
        </w:rPr>
        <w:t> </w:t>
      </w:r>
      <w:r>
        <w:rPr>
          <w:color w:val="6E6158"/>
        </w:rPr>
        <w:t>Washington</w:t>
      </w:r>
      <w:r>
        <w:rPr>
          <w:color w:val="6E6158"/>
          <w:spacing w:val="16"/>
        </w:rPr>
        <w:t> </w:t>
      </w:r>
      <w:r>
        <w:rPr>
          <w:color w:val="6E6158"/>
        </w:rPr>
        <w:t>CEO</w:t>
      </w:r>
      <w:r>
        <w:rPr>
          <w:color w:val="6E6158"/>
          <w:spacing w:val="16"/>
        </w:rPr>
        <w:t> </w:t>
      </w:r>
      <w:r>
        <w:rPr>
          <w:color w:val="6E6158"/>
        </w:rPr>
        <w:t>magazine,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2006</w:t>
      </w:r>
    </w:p>
    <w:p>
      <w:pPr>
        <w:pStyle w:val="BodyText"/>
        <w:spacing w:before="174"/>
      </w:pPr>
      <w:r>
        <w:rPr>
          <w:color w:val="6E6158"/>
        </w:rPr>
        <w:t>10.0</w:t>
      </w:r>
      <w:r>
        <w:rPr>
          <w:color w:val="6E6158"/>
          <w:spacing w:val="9"/>
        </w:rPr>
        <w:t> </w:t>
      </w:r>
      <w:r>
        <w:rPr>
          <w:color w:val="6E6158"/>
        </w:rPr>
        <w:t>Rating</w:t>
      </w:r>
      <w:r>
        <w:rPr>
          <w:color w:val="6E6158"/>
          <w:spacing w:val="9"/>
        </w:rPr>
        <w:t> </w:t>
      </w:r>
      <w:r>
        <w:rPr>
          <w:color w:val="6E6158"/>
        </w:rPr>
        <w:t>on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Avvo.com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02" w:lineRule="auto"/>
        <w:ind w:right="231"/>
      </w:pPr>
      <w:r>
        <w:rPr>
          <w:color w:val="6E6158"/>
        </w:rPr>
        <w:t>Co-Editor, “Lexis Nexis Practice Guide: Washington Contract Litigation,” </w:t>
      </w:r>
      <w:r>
        <w:rPr>
          <w:color w:val="6E6158"/>
        </w:rPr>
        <w:t>LexisNexis/Matthew Bender, 2015</w:t>
      </w:r>
    </w:p>
    <w:p>
      <w:pPr>
        <w:pStyle w:val="BodyText"/>
        <w:spacing w:line="292" w:lineRule="auto" w:before="113"/>
      </w:pPr>
      <w:r>
        <w:rPr>
          <w:color w:val="6E6158"/>
        </w:rPr>
        <w:t>Presenter, “Finessing the Fine Print: Agreements to Arbitrate and Covenants not to </w:t>
      </w:r>
      <w:r>
        <w:rPr>
          <w:color w:val="6E6158"/>
        </w:rPr>
        <w:t>Compete,” Washington Association of Corporate Counsel, 2014</w:t>
      </w:r>
    </w:p>
    <w:p>
      <w:pPr>
        <w:pStyle w:val="BodyText"/>
        <w:spacing w:line="292" w:lineRule="auto" w:before="131"/>
      </w:pPr>
      <w:r>
        <w:rPr>
          <w:color w:val="6E6158"/>
        </w:rPr>
        <w:t>Presenter, “Covering Your Bases: Practical Tips to Deal with and Avoid Litigation,” Washington Association of Corporate Counsel, 2013</w:t>
      </w:r>
    </w:p>
    <w:p>
      <w:pPr>
        <w:pStyle w:val="BodyText"/>
        <w:spacing w:before="123"/>
      </w:pPr>
      <w:r>
        <w:rPr>
          <w:color w:val="6E6158"/>
        </w:rPr>
        <w:t>Presenter,</w:t>
      </w:r>
      <w:r>
        <w:rPr>
          <w:color w:val="6E6158"/>
          <w:spacing w:val="9"/>
        </w:rPr>
        <w:t> </w:t>
      </w:r>
      <w:r>
        <w:rPr>
          <w:color w:val="6E6158"/>
        </w:rPr>
        <w:t>“Anatomy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</w:t>
      </w:r>
      <w:r>
        <w:rPr>
          <w:color w:val="6E6158"/>
          <w:spacing w:val="10"/>
        </w:rPr>
        <w:t> </w:t>
      </w:r>
      <w:r>
        <w:rPr>
          <w:color w:val="6E6158"/>
        </w:rPr>
        <w:t>Deal</w:t>
      </w:r>
      <w:r>
        <w:rPr>
          <w:color w:val="6E6158"/>
          <w:spacing w:val="9"/>
        </w:rPr>
        <w:t> </w:t>
      </w:r>
      <w:r>
        <w:rPr>
          <w:color w:val="6E6158"/>
        </w:rPr>
        <w:t>Gone</w:t>
      </w:r>
      <w:r>
        <w:rPr>
          <w:color w:val="6E6158"/>
          <w:spacing w:val="9"/>
        </w:rPr>
        <w:t> </w:t>
      </w:r>
      <w:r>
        <w:rPr>
          <w:color w:val="6E6158"/>
        </w:rPr>
        <w:t>Bad,”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William</w:t>
      </w:r>
      <w:r>
        <w:rPr>
          <w:color w:val="6E6158"/>
          <w:spacing w:val="9"/>
        </w:rPr>
        <w:t> </w:t>
      </w:r>
      <w:r>
        <w:rPr>
          <w:color w:val="6E6158"/>
        </w:rPr>
        <w:t>L.</w:t>
      </w:r>
      <w:r>
        <w:rPr>
          <w:color w:val="6E6158"/>
          <w:spacing w:val="9"/>
        </w:rPr>
        <w:t> </w:t>
      </w:r>
      <w:r>
        <w:rPr>
          <w:color w:val="6E6158"/>
        </w:rPr>
        <w:t>Dwyer</w:t>
      </w:r>
      <w:r>
        <w:rPr>
          <w:color w:val="6E6158"/>
          <w:spacing w:val="10"/>
        </w:rPr>
        <w:t> </w:t>
      </w:r>
      <w:r>
        <w:rPr>
          <w:color w:val="6E6158"/>
        </w:rPr>
        <w:t>American</w:t>
      </w:r>
      <w:r>
        <w:rPr>
          <w:color w:val="6E6158"/>
          <w:spacing w:val="9"/>
        </w:rPr>
        <w:t> </w:t>
      </w:r>
      <w:r>
        <w:rPr>
          <w:color w:val="6E6158"/>
        </w:rPr>
        <w:t>Inn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2013</w:t>
      </w:r>
    </w:p>
    <w:p>
      <w:pPr>
        <w:pStyle w:val="BodyText"/>
        <w:spacing w:line="302" w:lineRule="auto" w:before="174"/>
        <w:ind w:right="385"/>
      </w:pPr>
      <w:r>
        <w:rPr>
          <w:color w:val="6E6158"/>
        </w:rPr>
        <w:t>Moderator, “The New Supreme Court,” Federal Bar Association Annual Federal Practice </w:t>
      </w:r>
      <w:r>
        <w:rPr>
          <w:color w:val="6E6158"/>
        </w:rPr>
        <w:t>CLE, </w:t>
      </w:r>
      <w:r>
        <w:rPr>
          <w:color w:val="6E6158"/>
          <w:spacing w:val="-4"/>
        </w:rPr>
        <w:t>2005</w:t>
      </w:r>
    </w:p>
    <w:p>
      <w:pPr>
        <w:pStyle w:val="BodyText"/>
        <w:spacing w:before="113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“Basics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Accounting</w:t>
      </w:r>
      <w:r>
        <w:rPr>
          <w:color w:val="6E6158"/>
          <w:spacing w:val="11"/>
        </w:rPr>
        <w:t> </w:t>
      </w:r>
      <w:r>
        <w:rPr>
          <w:color w:val="6E6158"/>
        </w:rPr>
        <w:t>&amp;</w:t>
      </w:r>
      <w:r>
        <w:rPr>
          <w:color w:val="6E6158"/>
          <w:spacing w:val="12"/>
        </w:rPr>
        <w:t> </w:t>
      </w:r>
      <w:r>
        <w:rPr>
          <w:color w:val="6E6158"/>
        </w:rPr>
        <w:t>Finance,”</w:t>
      </w:r>
      <w:r>
        <w:rPr>
          <w:color w:val="6E6158"/>
          <w:spacing w:val="12"/>
        </w:rPr>
        <w:t> </w:t>
      </w:r>
      <w:r>
        <w:rPr>
          <w:color w:val="6E6158"/>
        </w:rPr>
        <w:t>Practicing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2"/>
        </w:rPr>
        <w:t> </w:t>
      </w:r>
      <w:r>
        <w:rPr>
          <w:color w:val="6E6158"/>
        </w:rPr>
        <w:t>Institute,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2002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1992"/>
      </w:pPr>
      <w:r>
        <w:rPr>
          <w:color w:val="6E6158"/>
        </w:rPr>
        <w:t>Member, American Constitution Society for Law and Policy, 2004-</w:t>
      </w:r>
      <w:r>
        <w:rPr>
          <w:color w:val="6E6158"/>
        </w:rPr>
        <w:t>present Member, Federal Bar Association of the Western District of Washington Member, American Bar Association</w:t>
      </w:r>
    </w:p>
    <w:p>
      <w:pPr>
        <w:pStyle w:val="BodyText"/>
        <w:spacing w:line="422" w:lineRule="auto"/>
        <w:ind w:right="5177"/>
      </w:pPr>
      <w:r>
        <w:rPr>
          <w:color w:val="6E6158"/>
        </w:rPr>
        <w:t>Member, Washington State Bar </w:t>
      </w:r>
      <w:r>
        <w:rPr>
          <w:color w:val="6E6158"/>
        </w:rPr>
        <w:t>Association Member, The State Bar of California Member, State Bar of Wisconsin</w:t>
      </w:r>
    </w:p>
    <w:p>
      <w:pPr>
        <w:pStyle w:val="Heading1"/>
        <w:spacing w:before="28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7347"/>
      </w:pPr>
      <w:r>
        <w:rPr>
          <w:color w:val="6E6158"/>
          <w:spacing w:val="-2"/>
        </w:rPr>
        <w:t>Washington California</w:t>
      </w:r>
    </w:p>
    <w:p>
      <w:pPr>
        <w:pStyle w:val="BodyText"/>
        <w:spacing w:line="231" w:lineRule="exact"/>
      </w:pPr>
      <w:r>
        <w:rPr>
          <w:color w:val="6E6158"/>
        </w:rPr>
        <w:t>United</w:t>
      </w:r>
      <w:r>
        <w:rPr>
          <w:color w:val="6E6158"/>
          <w:spacing w:val="13"/>
        </w:rPr>
        <w:t> </w:t>
      </w:r>
      <w:r>
        <w:rPr>
          <w:color w:val="6E6158"/>
        </w:rPr>
        <w:t>States</w:t>
      </w:r>
      <w:r>
        <w:rPr>
          <w:color w:val="6E6158"/>
          <w:spacing w:val="14"/>
        </w:rPr>
        <w:t> </w:t>
      </w:r>
      <w:r>
        <w:rPr>
          <w:color w:val="6E6158"/>
        </w:rPr>
        <w:t>Supreme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line="420" w:lineRule="auto" w:before="182"/>
        <w:ind w:right="4550"/>
      </w:pPr>
      <w:r>
        <w:rPr>
          <w:color w:val="6E6158"/>
        </w:rPr>
        <w:t>United States Court of Appeals, Eighth </w:t>
      </w:r>
      <w:r>
        <w:rPr>
          <w:color w:val="6E6158"/>
        </w:rPr>
        <w:t>Circuit United States Court of Appeals, Ninth Circuit</w:t>
      </w:r>
    </w:p>
    <w:p>
      <w:pPr>
        <w:pStyle w:val="BodyText"/>
        <w:spacing w:line="231" w:lineRule="exact"/>
      </w:pPr>
      <w:r>
        <w:rPr>
          <w:color w:val="6E6158"/>
        </w:rPr>
        <w:t>United</w:t>
      </w:r>
      <w:r>
        <w:rPr>
          <w:color w:val="6E6158"/>
          <w:spacing w:val="11"/>
        </w:rPr>
        <w:t> </w:t>
      </w:r>
      <w:r>
        <w:rPr>
          <w:color w:val="6E6158"/>
        </w:rPr>
        <w:t>States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Western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Washington</w:t>
      </w:r>
    </w:p>
    <w:p>
      <w:pPr>
        <w:pStyle w:val="BodyText"/>
        <w:spacing w:after="0" w:line="231" w:lineRule="exact"/>
        <w:sectPr>
          <w:pgSz w:w="12240" w:h="15840"/>
          <w:pgMar w:top="500" w:bottom="280" w:left="1440" w:right="1440"/>
        </w:sectPr>
      </w:pPr>
    </w:p>
    <w:p>
      <w:pPr>
        <w:pStyle w:val="BodyText"/>
        <w:spacing w:line="422" w:lineRule="auto" w:before="83"/>
        <w:ind w:right="3512"/>
      </w:pPr>
      <w:r>
        <w:rPr>
          <w:color w:val="6E6158"/>
        </w:rPr>
        <w:t>United States District Court, Eastern District of Washington United States District Court, Northern District of California</w:t>
      </w:r>
      <w:r>
        <w:rPr>
          <w:color w:val="6E6158"/>
          <w:spacing w:val="40"/>
        </w:rPr>
        <w:t> </w:t>
      </w:r>
      <w:r>
        <w:rPr>
          <w:color w:val="6E6158"/>
        </w:rPr>
        <w:t>United</w:t>
      </w:r>
      <w:r>
        <w:rPr>
          <w:color w:val="6E6158"/>
          <w:spacing w:val="40"/>
        </w:rPr>
        <w:t> </w:t>
      </w:r>
      <w:r>
        <w:rPr>
          <w:color w:val="6E6158"/>
        </w:rPr>
        <w:t>States</w:t>
      </w:r>
      <w:r>
        <w:rPr>
          <w:color w:val="6E6158"/>
          <w:spacing w:val="40"/>
        </w:rPr>
        <w:t> </w:t>
      </w:r>
      <w:r>
        <w:rPr>
          <w:color w:val="6E6158"/>
        </w:rPr>
        <w:t>District</w:t>
      </w:r>
      <w:r>
        <w:rPr>
          <w:color w:val="6E6158"/>
          <w:spacing w:val="40"/>
        </w:rPr>
        <w:t> </w:t>
      </w:r>
      <w:r>
        <w:rPr>
          <w:color w:val="6E6158"/>
        </w:rPr>
        <w:t>Court,</w:t>
      </w:r>
      <w:r>
        <w:rPr>
          <w:color w:val="6E6158"/>
          <w:spacing w:val="40"/>
        </w:rPr>
        <w:t> </w:t>
      </w:r>
      <w:r>
        <w:rPr>
          <w:color w:val="6E6158"/>
        </w:rPr>
        <w:t>Central</w:t>
      </w:r>
      <w:r>
        <w:rPr>
          <w:color w:val="6E6158"/>
          <w:spacing w:val="40"/>
        </w:rPr>
        <w:t> </w:t>
      </w:r>
      <w:r>
        <w:rPr>
          <w:color w:val="6E6158"/>
        </w:rPr>
        <w:t>District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California United States District Court for the Eastern District of </w:t>
      </w:r>
      <w:r>
        <w:rPr>
          <w:color w:val="6E6158"/>
        </w:rPr>
        <w:t>California United States District Court, Western District of Wisconsin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seattle/" TargetMode="External"/><Relationship Id="rId10" Type="http://schemas.openxmlformats.org/officeDocument/2006/relationships/hyperlink" Target="mailto:swilley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Stephen C. Willey - Fennemore</dc:title>
  <dcterms:created xsi:type="dcterms:W3CDTF">2026-09-03T23:38:20Z</dcterms:created>
  <dcterms:modified xsi:type="dcterms:W3CDTF">2026-09-03T23:38:20Z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2026-09-03T00:00:00Z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2026-09-03T00:00:00Z</vt:filetime>
  </property>
  <property fmtid="{D5CDD505-2E9C-101B-9397-08002B2CF9AE}" pid="6" name="Producer">
    <vt:lpwstr>Skia/PDF m151</vt:lpwstr>
  </property>
</Properties>
</file>