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spacing w:before="236"/>
        <w:ind w:left="0"/>
        <w:rPr>
          <w:rFonts w:ascii="Times New Roman"/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-2956956</wp:posOffset>
                </wp:positionV>
                <wp:extent cx="6071870" cy="288861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2888615"/>
                          <a:chExt cx="6071870" cy="288861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Tim Earl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6198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62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620010">
                                <a:moveTo>
                                  <a:pt x="3033212" y="2619827"/>
                                </a:moveTo>
                                <a:lnTo>
                                  <a:pt x="0" y="2619827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619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544773" y="1369338"/>
                            <a:ext cx="2015489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5489" h="320675">
                                <a:moveTo>
                                  <a:pt x="2015248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82"/>
                                </a:lnTo>
                                <a:lnTo>
                                  <a:pt x="2015248" y="320382"/>
                                </a:lnTo>
                                <a:lnTo>
                                  <a:pt x="2015248" y="315214"/>
                                </a:lnTo>
                                <a:close/>
                              </a:path>
                              <a:path w="2015489" h="320675">
                                <a:moveTo>
                                  <a:pt x="20152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015248" y="5168"/>
                                </a:lnTo>
                                <a:lnTo>
                                  <a:pt x="20152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545583" y="763308"/>
                            <a:ext cx="2029460" cy="825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-1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TIMOTHY C.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39"/>
                                </w:rPr>
                                <w:t>EARL</w:t>
                              </w:r>
                            </w:p>
                            <w:p>
                              <w:pPr>
                                <w:spacing w:before="39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6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Litigation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295812" y="1859626"/>
                            <a:ext cx="52895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San</w:t>
                                </w:r>
                                <w:r>
                                  <w:rPr>
                                    <w:color w:val="FFFFFF"/>
                                    <w:spacing w:val="2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Diego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607914" y="2019783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619.595.3279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725184" y="2019783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619.231.4372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900271" y="2226505"/>
                            <a:ext cx="131953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tearl@fennemorelaw.com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232.831253pt;width:478.1pt;height:227.45pt;mso-position-horizontal-relative:page;mso-position-vertical-relative:paragraph;z-index:15728640" id="docshapegroup1" coordorigin="1336,-4657" coordsize="9562,4549">
                <v:shape style="position:absolute;left:1336;top:-4657;width:2165;height:424" type="#_x0000_t75" id="docshape2" alt="Fennemore" href="https://www.fennemorelaw.com/" stroked="false">
                  <v:imagedata r:id="rId5" o:title=""/>
                </v:shape>
                <v:shape style="position:absolute;left:1336;top:-4234;width:4785;height:4126" type="#_x0000_t75" id="docshape3" alt="Tim Earl" stroked="false">
                  <v:imagedata r:id="rId7" o:title=""/>
                </v:shape>
                <v:rect style="position:absolute;left:6121;top:-4234;width:4777;height:4126" id="docshape4" filled="true" fillcolor="#262424" stroked="false">
                  <v:fill type="solid"/>
                </v:rect>
                <v:shape style="position:absolute;left:6918;top:-2501;width:3174;height:505" id="docshape5" coordorigin="6919,-2500" coordsize="3174,505" path="m10092,-2004l6919,-2004,6919,-1996,10092,-1996,10092,-2004xm10092,-2500l6919,-2500,6919,-2492,10092,-2492,10092,-2500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6919;top:-3455;width:3196;height:1300" type="#_x0000_t202" id="docshape6" filled="false" stroked="false">
                  <v:textbox inset="0,0,0,0">
                    <w:txbxContent>
                      <w:p>
                        <w:pPr>
                          <w:spacing w:before="0"/>
                          <w:ind w:left="-1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TIMOTHY C. </w:t>
                        </w:r>
                        <w:r>
                          <w:rPr>
                            <w:color w:val="FFFFFF"/>
                            <w:spacing w:val="-4"/>
                            <w:sz w:val="39"/>
                          </w:rPr>
                          <w:t>EARL</w:t>
                        </w:r>
                      </w:p>
                      <w:p>
                        <w:pPr>
                          <w:spacing w:before="39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6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Litigation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101;top:-1729;width:833;height:200" type="#_x0000_t202" id="docshape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z w:val="16"/>
                            </w:rPr>
                            <w:t>San</w:t>
                          </w:r>
                          <w:r>
                            <w:rPr>
                              <w:color w:val="FFFFFF"/>
                              <w:spacing w:val="2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Diego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7017;top:-1476;width:1258;height:210" type="#_x0000_t202" id="docshape8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619.595.3279</w:t>
                        </w:r>
                      </w:p>
                    </w:txbxContent>
                  </v:textbox>
                  <w10:wrap type="none"/>
                </v:shape>
                <v:shape style="position:absolute;left:8777;top:-1476;width:1240;height:210" type="#_x0000_t202" id="docshape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619.231.4372</w:t>
                        </w:r>
                      </w:p>
                    </w:txbxContent>
                  </v:textbox>
                  <w10:wrap type="none"/>
                </v:shape>
                <v:shape style="position:absolute;left:7478;top:-1151;width:2078;height:200" type="#_x0000_t202" id="docshape1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tearl@fennemorelaw.com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8100"/>
        </w:rPr>
        <w:t>TIMOTHY</w:t>
      </w:r>
      <w:r>
        <w:rPr>
          <w:color w:val="FF8100"/>
          <w:spacing w:val="7"/>
        </w:rPr>
        <w:t> </w:t>
      </w:r>
      <w:r>
        <w:rPr>
          <w:color w:val="FF8100"/>
        </w:rPr>
        <w:t>C.</w:t>
      </w:r>
      <w:r>
        <w:rPr>
          <w:color w:val="FF8100"/>
          <w:spacing w:val="7"/>
        </w:rPr>
        <w:t> </w:t>
      </w:r>
      <w:r>
        <w:rPr>
          <w:color w:val="FF8100"/>
          <w:spacing w:val="-4"/>
        </w:rPr>
        <w:t>EARL</w:t>
      </w:r>
    </w:p>
    <w:p>
      <w:pPr>
        <w:pStyle w:val="BodyText"/>
        <w:spacing w:line="297" w:lineRule="auto" w:before="147"/>
      </w:pPr>
      <w:r>
        <w:rPr>
          <w:color w:val="6E6158"/>
        </w:rPr>
        <w:t>Timothy C. Earl, an insurance coverage, construction and business litigation attorney, is a skilled</w:t>
      </w:r>
      <w:r>
        <w:rPr>
          <w:color w:val="6E6158"/>
          <w:spacing w:val="40"/>
        </w:rPr>
        <w:t> </w:t>
      </w:r>
      <w:r>
        <w:rPr>
          <w:color w:val="6E6158"/>
        </w:rPr>
        <w:t>litigation attorney with a focus on comprehensive insurance coverage and construction law. </w:t>
      </w:r>
      <w:r>
        <w:rPr>
          <w:color w:val="6E6158"/>
        </w:rPr>
        <w:t>His</w:t>
      </w:r>
      <w:r>
        <w:rPr>
          <w:color w:val="6E6158"/>
          <w:spacing w:val="40"/>
        </w:rPr>
        <w:t> </w:t>
      </w:r>
      <w:r>
        <w:rPr>
          <w:color w:val="6E6158"/>
        </w:rPr>
        <w:t>practice</w:t>
      </w:r>
      <w:r>
        <w:rPr>
          <w:color w:val="6E6158"/>
          <w:spacing w:val="40"/>
        </w:rPr>
        <w:t> </w:t>
      </w:r>
      <w:r>
        <w:rPr>
          <w:color w:val="6E6158"/>
        </w:rPr>
        <w:t>spans,</w:t>
      </w:r>
      <w:r>
        <w:rPr>
          <w:color w:val="6E6158"/>
          <w:spacing w:val="40"/>
        </w:rPr>
        <w:t> </w:t>
      </w:r>
      <w:r>
        <w:rPr>
          <w:color w:val="6E6158"/>
        </w:rPr>
        <w:t>insurance</w:t>
      </w:r>
      <w:r>
        <w:rPr>
          <w:color w:val="6E6158"/>
          <w:spacing w:val="40"/>
        </w:rPr>
        <w:t> </w:t>
      </w:r>
      <w:r>
        <w:rPr>
          <w:color w:val="6E6158"/>
        </w:rPr>
        <w:t>coverage,</w:t>
      </w:r>
      <w:r>
        <w:rPr>
          <w:color w:val="6E6158"/>
          <w:spacing w:val="40"/>
        </w:rPr>
        <w:t> </w:t>
      </w:r>
      <w:r>
        <w:rPr>
          <w:color w:val="6E6158"/>
        </w:rPr>
        <w:t>construction</w:t>
      </w:r>
      <w:r>
        <w:rPr>
          <w:color w:val="6E6158"/>
          <w:spacing w:val="40"/>
        </w:rPr>
        <w:t> </w:t>
      </w:r>
      <w:r>
        <w:rPr>
          <w:color w:val="6E6158"/>
        </w:rPr>
        <w:t>litigation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business</w:t>
      </w:r>
      <w:r>
        <w:rPr>
          <w:color w:val="6E6158"/>
          <w:spacing w:val="40"/>
        </w:rPr>
        <w:t> </w:t>
      </w:r>
      <w:r>
        <w:rPr>
          <w:color w:val="6E6158"/>
        </w:rPr>
        <w:t>litigation,</w:t>
      </w:r>
      <w:r>
        <w:rPr>
          <w:color w:val="6E6158"/>
          <w:spacing w:val="40"/>
        </w:rPr>
        <w:t> </w:t>
      </w:r>
      <w:r>
        <w:rPr>
          <w:color w:val="6E6158"/>
        </w:rPr>
        <w:t>handling</w:t>
      </w:r>
    </w:p>
    <w:p>
      <w:pPr>
        <w:pStyle w:val="BodyText"/>
        <w:spacing w:line="229" w:lineRule="exact"/>
      </w:pPr>
      <w:r>
        <w:rPr>
          <w:color w:val="6E6158"/>
        </w:rPr>
        <w:t>complex</w:t>
      </w:r>
      <w:r>
        <w:rPr>
          <w:color w:val="6E6158"/>
          <w:spacing w:val="13"/>
        </w:rPr>
        <w:t> </w:t>
      </w:r>
      <w:r>
        <w:rPr>
          <w:color w:val="6E6158"/>
        </w:rPr>
        <w:t>cases</w:t>
      </w:r>
      <w:r>
        <w:rPr>
          <w:color w:val="6E6158"/>
          <w:spacing w:val="14"/>
        </w:rPr>
        <w:t> </w:t>
      </w:r>
      <w:r>
        <w:rPr>
          <w:color w:val="6E6158"/>
        </w:rPr>
        <w:t>including</w:t>
      </w:r>
      <w:r>
        <w:rPr>
          <w:color w:val="6E6158"/>
          <w:spacing w:val="14"/>
        </w:rPr>
        <w:t> </w:t>
      </w:r>
      <w:r>
        <w:rPr>
          <w:color w:val="6E6158"/>
        </w:rPr>
        <w:t>policy</w:t>
      </w:r>
      <w:r>
        <w:rPr>
          <w:color w:val="6E6158"/>
          <w:spacing w:val="13"/>
        </w:rPr>
        <w:t> </w:t>
      </w:r>
      <w:r>
        <w:rPr>
          <w:color w:val="6E6158"/>
        </w:rPr>
        <w:t>interpretation</w:t>
      </w:r>
      <w:r>
        <w:rPr>
          <w:color w:val="6E6158"/>
          <w:spacing w:val="14"/>
        </w:rPr>
        <w:t> </w:t>
      </w:r>
      <w:r>
        <w:rPr>
          <w:color w:val="6E6158"/>
        </w:rPr>
        <w:t>and</w:t>
      </w:r>
      <w:r>
        <w:rPr>
          <w:color w:val="6E6158"/>
          <w:spacing w:val="14"/>
        </w:rPr>
        <w:t> </w:t>
      </w:r>
      <w:r>
        <w:rPr>
          <w:color w:val="6E6158"/>
        </w:rPr>
        <w:t>bad</w:t>
      </w:r>
      <w:r>
        <w:rPr>
          <w:color w:val="6E6158"/>
          <w:spacing w:val="14"/>
        </w:rPr>
        <w:t> </w:t>
      </w:r>
      <w:r>
        <w:rPr>
          <w:color w:val="6E6158"/>
        </w:rPr>
        <w:t>faith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litigation.</w:t>
      </w:r>
    </w:p>
    <w:p>
      <w:pPr>
        <w:pStyle w:val="BodyText"/>
        <w:spacing w:before="22"/>
        <w:ind w:left="0"/>
      </w:pPr>
    </w:p>
    <w:p>
      <w:pPr>
        <w:pStyle w:val="BodyText"/>
        <w:spacing w:line="295" w:lineRule="auto"/>
        <w:ind w:right="392"/>
      </w:pPr>
      <w:r>
        <w:rPr>
          <w:color w:val="6E6158"/>
        </w:rPr>
        <w:t>In insurance coverage litigation, Timothy represents policyholders and insurance companies in </w:t>
      </w:r>
      <w:r>
        <w:rPr>
          <w:color w:val="6E6158"/>
        </w:rPr>
        <w:t>a</w:t>
      </w:r>
      <w:r>
        <w:rPr>
          <w:color w:val="6E6158"/>
          <w:spacing w:val="40"/>
        </w:rPr>
        <w:t> </w:t>
      </w:r>
      <w:r>
        <w:rPr>
          <w:color w:val="6E6158"/>
        </w:rPr>
        <w:t>variety</w:t>
      </w:r>
      <w:r>
        <w:rPr>
          <w:color w:val="6E6158"/>
          <w:spacing w:val="35"/>
        </w:rPr>
        <w:t> </w:t>
      </w:r>
      <w:r>
        <w:rPr>
          <w:color w:val="6E6158"/>
        </w:rPr>
        <w:t>of</w:t>
      </w:r>
      <w:r>
        <w:rPr>
          <w:color w:val="6E6158"/>
          <w:spacing w:val="35"/>
        </w:rPr>
        <w:t> </w:t>
      </w:r>
      <w:r>
        <w:rPr>
          <w:color w:val="6E6158"/>
        </w:rPr>
        <w:t>insurance</w:t>
      </w:r>
      <w:r>
        <w:rPr>
          <w:color w:val="6E6158"/>
          <w:spacing w:val="35"/>
        </w:rPr>
        <w:t> </w:t>
      </w:r>
      <w:r>
        <w:rPr>
          <w:color w:val="6E6158"/>
        </w:rPr>
        <w:t>coverage</w:t>
      </w:r>
      <w:r>
        <w:rPr>
          <w:color w:val="6E6158"/>
          <w:spacing w:val="35"/>
        </w:rPr>
        <w:t> </w:t>
      </w:r>
      <w:r>
        <w:rPr>
          <w:color w:val="6E6158"/>
        </w:rPr>
        <w:t>disputes</w:t>
      </w:r>
      <w:r>
        <w:rPr>
          <w:color w:val="6E6158"/>
          <w:spacing w:val="35"/>
        </w:rPr>
        <w:t> </w:t>
      </w:r>
      <w:r>
        <w:rPr>
          <w:color w:val="6E6158"/>
        </w:rPr>
        <w:t>primarily</w:t>
      </w:r>
      <w:r>
        <w:rPr>
          <w:color w:val="6E6158"/>
          <w:spacing w:val="35"/>
        </w:rPr>
        <w:t> </w:t>
      </w:r>
      <w:r>
        <w:rPr>
          <w:color w:val="6E6158"/>
        </w:rPr>
        <w:t>involving</w:t>
      </w:r>
      <w:r>
        <w:rPr>
          <w:color w:val="6E6158"/>
          <w:spacing w:val="35"/>
        </w:rPr>
        <w:t> </w:t>
      </w:r>
      <w:r>
        <w:rPr>
          <w:color w:val="6E6158"/>
        </w:rPr>
        <w:t>property</w:t>
      </w:r>
      <w:r>
        <w:rPr>
          <w:color w:val="6E6158"/>
          <w:spacing w:val="35"/>
        </w:rPr>
        <w:t> </w:t>
      </w:r>
      <w:r>
        <w:rPr>
          <w:color w:val="6E6158"/>
        </w:rPr>
        <w:t>damage</w:t>
      </w:r>
      <w:r>
        <w:rPr>
          <w:color w:val="6E6158"/>
          <w:spacing w:val="35"/>
        </w:rPr>
        <w:t> </w:t>
      </w:r>
      <w:r>
        <w:rPr>
          <w:color w:val="6E6158"/>
        </w:rPr>
        <w:t>or</w:t>
      </w:r>
      <w:r>
        <w:rPr>
          <w:color w:val="6E6158"/>
          <w:spacing w:val="35"/>
        </w:rPr>
        <w:t> </w:t>
      </w:r>
      <w:r>
        <w:rPr>
          <w:color w:val="6E6158"/>
        </w:rPr>
        <w:t>bodily</w:t>
      </w:r>
      <w:r>
        <w:rPr>
          <w:color w:val="6E6158"/>
          <w:spacing w:val="35"/>
        </w:rPr>
        <w:t> </w:t>
      </w:r>
      <w:r>
        <w:rPr>
          <w:color w:val="6E6158"/>
        </w:rPr>
        <w:t>injury arising</w:t>
      </w:r>
      <w:r>
        <w:rPr>
          <w:color w:val="6E6158"/>
          <w:spacing w:val="33"/>
        </w:rPr>
        <w:t> </w:t>
      </w:r>
      <w:r>
        <w:rPr>
          <w:color w:val="6E6158"/>
        </w:rPr>
        <w:t>out</w:t>
      </w:r>
      <w:r>
        <w:rPr>
          <w:color w:val="6E6158"/>
          <w:spacing w:val="33"/>
        </w:rPr>
        <w:t> </w:t>
      </w:r>
      <w:r>
        <w:rPr>
          <w:color w:val="6E6158"/>
        </w:rPr>
        <w:t>of</w:t>
      </w:r>
      <w:r>
        <w:rPr>
          <w:color w:val="6E6158"/>
          <w:spacing w:val="33"/>
        </w:rPr>
        <w:t> </w:t>
      </w:r>
      <w:r>
        <w:rPr>
          <w:color w:val="6E6158"/>
        </w:rPr>
        <w:t>construction</w:t>
      </w:r>
      <w:r>
        <w:rPr>
          <w:color w:val="6E6158"/>
          <w:spacing w:val="33"/>
        </w:rPr>
        <w:t> </w:t>
      </w:r>
      <w:r>
        <w:rPr>
          <w:color w:val="6E6158"/>
        </w:rPr>
        <w:t>defect</w:t>
      </w:r>
      <w:r>
        <w:rPr>
          <w:color w:val="6E6158"/>
          <w:spacing w:val="33"/>
        </w:rPr>
        <w:t> </w:t>
      </w:r>
      <w:r>
        <w:rPr>
          <w:color w:val="6E6158"/>
        </w:rPr>
        <w:t>and</w:t>
      </w:r>
      <w:r>
        <w:rPr>
          <w:color w:val="6E6158"/>
          <w:spacing w:val="33"/>
        </w:rPr>
        <w:t> </w:t>
      </w:r>
      <w:r>
        <w:rPr>
          <w:color w:val="6E6158"/>
        </w:rPr>
        <w:t>asbestos</w:t>
      </w:r>
      <w:r>
        <w:rPr>
          <w:color w:val="6E6158"/>
          <w:spacing w:val="33"/>
        </w:rPr>
        <w:t> </w:t>
      </w:r>
      <w:r>
        <w:rPr>
          <w:color w:val="6E6158"/>
        </w:rPr>
        <w:t>claims.</w:t>
      </w:r>
      <w:r>
        <w:rPr>
          <w:color w:val="6E6158"/>
          <w:spacing w:val="33"/>
        </w:rPr>
        <w:t> </w:t>
      </w:r>
      <w:r>
        <w:rPr>
          <w:color w:val="6E6158"/>
        </w:rPr>
        <w:t>He</w:t>
      </w:r>
      <w:r>
        <w:rPr>
          <w:color w:val="6E6158"/>
          <w:spacing w:val="33"/>
        </w:rPr>
        <w:t> </w:t>
      </w:r>
      <w:r>
        <w:rPr>
          <w:color w:val="6E6158"/>
        </w:rPr>
        <w:t>represents</w:t>
      </w:r>
      <w:r>
        <w:rPr>
          <w:color w:val="6E6158"/>
          <w:spacing w:val="33"/>
        </w:rPr>
        <w:t> </w:t>
      </w:r>
      <w:r>
        <w:rPr>
          <w:color w:val="6E6158"/>
        </w:rPr>
        <w:t>policyholders</w:t>
      </w:r>
      <w:r>
        <w:rPr>
          <w:color w:val="6E6158"/>
          <w:spacing w:val="33"/>
        </w:rPr>
        <w:t> </w:t>
      </w:r>
      <w:r>
        <w:rPr>
          <w:color w:val="6E6158"/>
        </w:rPr>
        <w:t>in declaratory relief and bad faith actions against insurers, and has represented insurers in</w:t>
      </w:r>
      <w:r>
        <w:rPr>
          <w:color w:val="6E6158"/>
          <w:spacing w:val="40"/>
        </w:rPr>
        <w:t> </w:t>
      </w:r>
      <w:r>
        <w:rPr>
          <w:color w:val="6E6158"/>
        </w:rPr>
        <w:t>subrogation and contribution actions against other insurers.</w:t>
      </w:r>
    </w:p>
    <w:p>
      <w:pPr>
        <w:pStyle w:val="BodyText"/>
        <w:spacing w:line="295" w:lineRule="auto" w:before="195"/>
        <w:ind w:right="768"/>
      </w:pPr>
      <w:r>
        <w:rPr>
          <w:color w:val="6E6158"/>
        </w:rPr>
        <w:t>In construction litigation, Timothy represents a wide array of clients, such as developers,</w:t>
      </w:r>
      <w:r>
        <w:rPr>
          <w:color w:val="6E6158"/>
          <w:spacing w:val="40"/>
        </w:rPr>
        <w:t> </w:t>
      </w:r>
      <w:r>
        <w:rPr>
          <w:color w:val="6E6158"/>
        </w:rPr>
        <w:t>architects, and contractors in both residential and commercial projects. He’s skilled at managing indemnity claims, construction defect cases, mechanic’s lien disputes and </w:t>
      </w:r>
      <w:r>
        <w:rPr>
          <w:color w:val="6E6158"/>
        </w:rPr>
        <w:t>bid protests. His knowledge also extends to representing sureties on bond claims.</w:t>
      </w:r>
    </w:p>
    <w:p>
      <w:pPr>
        <w:pStyle w:val="BodyText"/>
        <w:spacing w:line="292" w:lineRule="auto" w:before="197"/>
      </w:pPr>
      <w:r>
        <w:rPr>
          <w:color w:val="6E6158"/>
        </w:rPr>
        <w:t>Additionally, Timothy’s business litigation experience includes representing companies in </w:t>
      </w:r>
      <w:r>
        <w:rPr>
          <w:color w:val="6E6158"/>
        </w:rPr>
        <w:t>disputes</w:t>
      </w:r>
      <w:r>
        <w:rPr>
          <w:color w:val="6E6158"/>
          <w:spacing w:val="40"/>
        </w:rPr>
        <w:t> </w:t>
      </w:r>
      <w:r>
        <w:rPr>
          <w:color w:val="6E6158"/>
        </w:rPr>
        <w:t>related to real estate, unfair competition, and various tort claims. His ability to provide strategic,</w:t>
      </w:r>
      <w:r>
        <w:rPr>
          <w:color w:val="6E6158"/>
          <w:spacing w:val="40"/>
        </w:rPr>
        <w:t> </w:t>
      </w:r>
      <w:r>
        <w:rPr>
          <w:color w:val="6E6158"/>
        </w:rPr>
        <w:t>efficient</w:t>
      </w:r>
      <w:r>
        <w:rPr>
          <w:color w:val="6E6158"/>
          <w:spacing w:val="29"/>
        </w:rPr>
        <w:t> </w:t>
      </w:r>
      <w:r>
        <w:rPr>
          <w:color w:val="6E6158"/>
        </w:rPr>
        <w:t>legal</w:t>
      </w:r>
      <w:r>
        <w:rPr>
          <w:color w:val="6E6158"/>
          <w:spacing w:val="29"/>
        </w:rPr>
        <w:t> </w:t>
      </w:r>
      <w:r>
        <w:rPr>
          <w:color w:val="6E6158"/>
        </w:rPr>
        <w:t>solutions</w:t>
      </w:r>
      <w:r>
        <w:rPr>
          <w:color w:val="6E6158"/>
          <w:spacing w:val="29"/>
        </w:rPr>
        <w:t> </w:t>
      </w:r>
      <w:r>
        <w:rPr>
          <w:color w:val="6E6158"/>
        </w:rPr>
        <w:t>makes</w:t>
      </w:r>
      <w:r>
        <w:rPr>
          <w:color w:val="6E6158"/>
          <w:spacing w:val="29"/>
        </w:rPr>
        <w:t> </w:t>
      </w:r>
      <w:r>
        <w:rPr>
          <w:color w:val="6E6158"/>
        </w:rPr>
        <w:t>him</w:t>
      </w:r>
      <w:r>
        <w:rPr>
          <w:color w:val="6E6158"/>
          <w:spacing w:val="29"/>
        </w:rPr>
        <w:t> </w:t>
      </w:r>
      <w:r>
        <w:rPr>
          <w:color w:val="6E6158"/>
        </w:rPr>
        <w:t>a</w:t>
      </w:r>
      <w:r>
        <w:rPr>
          <w:color w:val="6E6158"/>
          <w:spacing w:val="29"/>
        </w:rPr>
        <w:t> </w:t>
      </w:r>
      <w:r>
        <w:rPr>
          <w:color w:val="6E6158"/>
        </w:rPr>
        <w:t>valuable</w:t>
      </w:r>
      <w:r>
        <w:rPr>
          <w:color w:val="6E6158"/>
          <w:spacing w:val="29"/>
        </w:rPr>
        <w:t> </w:t>
      </w:r>
      <w:r>
        <w:rPr>
          <w:color w:val="6E6158"/>
        </w:rPr>
        <w:t>asset</w:t>
      </w:r>
      <w:r>
        <w:rPr>
          <w:color w:val="6E6158"/>
          <w:spacing w:val="29"/>
        </w:rPr>
        <w:t> </w:t>
      </w:r>
      <w:r>
        <w:rPr>
          <w:color w:val="6E6158"/>
        </w:rPr>
        <w:t>in</w:t>
      </w:r>
      <w:r>
        <w:rPr>
          <w:color w:val="6E6158"/>
          <w:spacing w:val="29"/>
        </w:rPr>
        <w:t> </w:t>
      </w:r>
      <w:r>
        <w:rPr>
          <w:color w:val="6E6158"/>
        </w:rPr>
        <w:t>the</w:t>
      </w:r>
      <w:r>
        <w:rPr>
          <w:color w:val="6E6158"/>
          <w:spacing w:val="29"/>
        </w:rPr>
        <w:t> </w:t>
      </w:r>
      <w:r>
        <w:rPr>
          <w:color w:val="6E6158"/>
        </w:rPr>
        <w:t>construction</w:t>
      </w:r>
      <w:r>
        <w:rPr>
          <w:color w:val="6E6158"/>
          <w:spacing w:val="29"/>
        </w:rPr>
        <w:t> </w:t>
      </w:r>
      <w:r>
        <w:rPr>
          <w:color w:val="6E6158"/>
        </w:rPr>
        <w:t>and</w:t>
      </w:r>
      <w:r>
        <w:rPr>
          <w:color w:val="6E6158"/>
          <w:spacing w:val="29"/>
        </w:rPr>
        <w:t> </w:t>
      </w:r>
      <w:r>
        <w:rPr>
          <w:color w:val="6E6158"/>
        </w:rPr>
        <w:t>insurance</w:t>
      </w:r>
      <w:r>
        <w:rPr>
          <w:color w:val="6E6158"/>
          <w:spacing w:val="29"/>
        </w:rPr>
        <w:t> </w:t>
      </w:r>
      <w:r>
        <w:rPr>
          <w:color w:val="6E6158"/>
        </w:rPr>
        <w:t>legal</w:t>
      </w:r>
    </w:p>
    <w:p>
      <w:pPr>
        <w:pStyle w:val="BodyText"/>
        <w:spacing w:before="10"/>
      </w:pPr>
      <w:r>
        <w:rPr>
          <w:color w:val="6E6158"/>
          <w:spacing w:val="-2"/>
        </w:rPr>
        <w:t>sectors.</w:t>
      </w:r>
    </w:p>
    <w:p>
      <w:pPr>
        <w:pStyle w:val="Heading1"/>
        <w:spacing w:before="213"/>
      </w:pPr>
      <w:r>
        <w:rPr>
          <w:color w:val="FF8100"/>
          <w:spacing w:val="-2"/>
        </w:rPr>
        <w:t>EDUCATION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0" w:lineRule="auto" w:before="1"/>
        <w:ind w:right="5012"/>
      </w:pPr>
      <w:r>
        <w:rPr>
          <w:color w:val="6E6158"/>
        </w:rPr>
        <w:t>J.D., University of San Diego School of </w:t>
      </w:r>
      <w:r>
        <w:rPr>
          <w:color w:val="6E6158"/>
        </w:rPr>
        <w:t>Law</w:t>
      </w:r>
      <w:r>
        <w:rPr>
          <w:color w:val="6E6158"/>
        </w:rPr>
        <w:t> B.A., University of California, Davis</w:t>
      </w:r>
    </w:p>
    <w:p>
      <w:pPr>
        <w:pStyle w:val="Heading1"/>
        <w:spacing w:before="289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0" w:lineRule="auto"/>
        <w:ind w:right="6784"/>
      </w:pPr>
      <w:r>
        <w:rPr>
          <w:color w:val="6E6158"/>
        </w:rPr>
        <w:t>Business Litigation Construction Law Insurance </w:t>
      </w:r>
      <w:r>
        <w:rPr>
          <w:color w:val="6E6158"/>
        </w:rPr>
        <w:t>Coverage</w:t>
      </w:r>
    </w:p>
    <w:p>
      <w:pPr>
        <w:pStyle w:val="BodyText"/>
        <w:spacing w:after="0" w:line="420" w:lineRule="auto"/>
        <w:sectPr>
          <w:type w:val="continuous"/>
          <w:pgSz w:w="12240" w:h="15840"/>
          <w:pgMar w:top="560" w:bottom="280" w:left="1440" w:right="1440"/>
        </w:sectPr>
      </w:pPr>
    </w:p>
    <w:p>
      <w:pPr>
        <w:pStyle w:val="Heading1"/>
        <w:spacing w:before="83"/>
      </w:pPr>
      <w:r>
        <w:rPr>
          <w:color w:val="FF8100"/>
        </w:rPr>
        <w:t>REPRESENTATIVE</w:t>
      </w:r>
      <w:r>
        <w:rPr>
          <w:color w:val="FF8100"/>
          <w:spacing w:val="19"/>
        </w:rPr>
        <w:t> </w:t>
      </w:r>
      <w:r>
        <w:rPr>
          <w:color w:val="FF8100"/>
          <w:spacing w:val="-2"/>
        </w:rPr>
        <w:t>MATTERS</w:t>
      </w:r>
    </w:p>
    <w:p>
      <w:pPr>
        <w:pStyle w:val="BodyText"/>
        <w:spacing w:before="18"/>
        <w:ind w:left="0"/>
        <w:rPr>
          <w:b/>
        </w:rPr>
      </w:pPr>
    </w:p>
    <w:p>
      <w:pPr>
        <w:spacing w:line="288" w:lineRule="auto" w:before="0"/>
        <w:ind w:left="99" w:right="392" w:firstLine="0"/>
        <w:jc w:val="left"/>
        <w:rPr>
          <w:sz w:val="19"/>
        </w:rPr>
      </w:pPr>
      <w:r>
        <w:rPr>
          <w:i/>
          <w:color w:val="6E6158"/>
          <w:sz w:val="20"/>
        </w:rPr>
        <w:t>Navigators</w:t>
      </w:r>
      <w:r>
        <w:rPr>
          <w:i/>
          <w:color w:val="6E6158"/>
          <w:spacing w:val="-14"/>
          <w:sz w:val="20"/>
        </w:rPr>
        <w:t> </w:t>
      </w:r>
      <w:r>
        <w:rPr>
          <w:i/>
          <w:color w:val="6E6158"/>
          <w:sz w:val="20"/>
        </w:rPr>
        <w:t>Specialty</w:t>
      </w:r>
      <w:r>
        <w:rPr>
          <w:i/>
          <w:color w:val="6E6158"/>
          <w:spacing w:val="-14"/>
          <w:sz w:val="20"/>
        </w:rPr>
        <w:t> </w:t>
      </w:r>
      <w:r>
        <w:rPr>
          <w:i/>
          <w:color w:val="6E6158"/>
          <w:sz w:val="20"/>
        </w:rPr>
        <w:t>Insurance</w:t>
      </w:r>
      <w:r>
        <w:rPr>
          <w:i/>
          <w:color w:val="6E6158"/>
          <w:spacing w:val="-14"/>
          <w:sz w:val="20"/>
        </w:rPr>
        <w:t> </w:t>
      </w:r>
      <w:r>
        <w:rPr>
          <w:i/>
          <w:color w:val="6E6158"/>
          <w:sz w:val="20"/>
        </w:rPr>
        <w:t>Company</w:t>
      </w:r>
      <w:r>
        <w:rPr>
          <w:i/>
          <w:color w:val="6E6158"/>
          <w:spacing w:val="-14"/>
          <w:sz w:val="20"/>
        </w:rPr>
        <w:t> </w:t>
      </w:r>
      <w:r>
        <w:rPr>
          <w:i/>
          <w:color w:val="6E6158"/>
          <w:sz w:val="20"/>
        </w:rPr>
        <w:t>v.</w:t>
      </w:r>
      <w:r>
        <w:rPr>
          <w:i/>
          <w:color w:val="6E6158"/>
          <w:spacing w:val="-14"/>
          <w:sz w:val="20"/>
        </w:rPr>
        <w:t> </w:t>
      </w:r>
      <w:r>
        <w:rPr>
          <w:i/>
          <w:color w:val="6E6158"/>
          <w:sz w:val="20"/>
        </w:rPr>
        <w:t>Golden</w:t>
      </w:r>
      <w:r>
        <w:rPr>
          <w:i/>
          <w:color w:val="6E6158"/>
          <w:spacing w:val="-14"/>
          <w:sz w:val="20"/>
        </w:rPr>
        <w:t> </w:t>
      </w:r>
      <w:r>
        <w:rPr>
          <w:i/>
          <w:color w:val="6E6158"/>
          <w:sz w:val="20"/>
        </w:rPr>
        <w:t>Bear</w:t>
      </w:r>
      <w:r>
        <w:rPr>
          <w:i/>
          <w:color w:val="6E6158"/>
          <w:spacing w:val="-13"/>
          <w:sz w:val="20"/>
        </w:rPr>
        <w:t> </w:t>
      </w:r>
      <w:r>
        <w:rPr>
          <w:i/>
          <w:color w:val="6E6158"/>
          <w:sz w:val="20"/>
        </w:rPr>
        <w:t>Insurance</w:t>
      </w:r>
      <w:r>
        <w:rPr>
          <w:i/>
          <w:color w:val="6E6158"/>
          <w:spacing w:val="-14"/>
          <w:sz w:val="20"/>
        </w:rPr>
        <w:t> </w:t>
      </w:r>
      <w:r>
        <w:rPr>
          <w:i/>
          <w:color w:val="6E6158"/>
          <w:sz w:val="20"/>
        </w:rPr>
        <w:t>Company</w:t>
      </w:r>
      <w:r>
        <w:rPr>
          <w:color w:val="6E6158"/>
          <w:sz w:val="19"/>
        </w:rPr>
        <w:t>,</w:t>
      </w:r>
      <w:r>
        <w:rPr>
          <w:color w:val="6E6158"/>
          <w:spacing w:val="-13"/>
          <w:sz w:val="19"/>
        </w:rPr>
        <w:t> </w:t>
      </w:r>
      <w:r>
        <w:rPr>
          <w:color w:val="6E6158"/>
          <w:sz w:val="19"/>
        </w:rPr>
        <w:t>2024</w:t>
      </w:r>
      <w:r>
        <w:rPr>
          <w:color w:val="6E6158"/>
          <w:spacing w:val="-14"/>
          <w:sz w:val="19"/>
        </w:rPr>
        <w:t> </w:t>
      </w:r>
      <w:r>
        <w:rPr>
          <w:color w:val="6E6158"/>
          <w:sz w:val="19"/>
        </w:rPr>
        <w:t>WL</w:t>
      </w:r>
      <w:r>
        <w:rPr>
          <w:color w:val="6E6158"/>
          <w:spacing w:val="-13"/>
          <w:sz w:val="19"/>
        </w:rPr>
        <w:t> </w:t>
      </w:r>
      <w:r>
        <w:rPr>
          <w:color w:val="6E6158"/>
          <w:sz w:val="19"/>
        </w:rPr>
        <w:t>59694 (N.D.</w:t>
      </w:r>
      <w:r>
        <w:rPr>
          <w:color w:val="6E6158"/>
          <w:spacing w:val="22"/>
          <w:sz w:val="19"/>
        </w:rPr>
        <w:t> </w:t>
      </w:r>
      <w:r>
        <w:rPr>
          <w:color w:val="6E6158"/>
          <w:sz w:val="19"/>
        </w:rPr>
        <w:t>Calif.,</w:t>
      </w:r>
      <w:r>
        <w:rPr>
          <w:color w:val="6E6158"/>
          <w:spacing w:val="22"/>
          <w:sz w:val="19"/>
        </w:rPr>
        <w:t> </w:t>
      </w:r>
      <w:r>
        <w:rPr>
          <w:color w:val="6E6158"/>
          <w:sz w:val="19"/>
        </w:rPr>
        <w:t>2024).</w:t>
      </w:r>
      <w:r>
        <w:rPr>
          <w:color w:val="6E6158"/>
          <w:spacing w:val="80"/>
          <w:sz w:val="19"/>
        </w:rPr>
        <w:t> </w:t>
      </w:r>
      <w:r>
        <w:rPr>
          <w:color w:val="6E6158"/>
          <w:sz w:val="19"/>
        </w:rPr>
        <w:t>Defended</w:t>
      </w:r>
      <w:r>
        <w:rPr>
          <w:color w:val="6E6158"/>
          <w:spacing w:val="22"/>
          <w:sz w:val="19"/>
        </w:rPr>
        <w:t> </w:t>
      </w:r>
      <w:r>
        <w:rPr>
          <w:color w:val="6E6158"/>
          <w:sz w:val="19"/>
        </w:rPr>
        <w:t>an</w:t>
      </w:r>
      <w:r>
        <w:rPr>
          <w:color w:val="6E6158"/>
          <w:spacing w:val="22"/>
          <w:sz w:val="19"/>
        </w:rPr>
        <w:t> </w:t>
      </w:r>
      <w:r>
        <w:rPr>
          <w:color w:val="6E6158"/>
          <w:sz w:val="19"/>
        </w:rPr>
        <w:t>insurance</w:t>
      </w:r>
      <w:r>
        <w:rPr>
          <w:color w:val="6E6158"/>
          <w:spacing w:val="22"/>
          <w:sz w:val="19"/>
        </w:rPr>
        <w:t> </w:t>
      </w:r>
      <w:r>
        <w:rPr>
          <w:color w:val="6E6158"/>
          <w:sz w:val="19"/>
        </w:rPr>
        <w:t>company</w:t>
      </w:r>
      <w:r>
        <w:rPr>
          <w:color w:val="6E6158"/>
          <w:spacing w:val="22"/>
          <w:sz w:val="19"/>
        </w:rPr>
        <w:t> </w:t>
      </w:r>
      <w:r>
        <w:rPr>
          <w:color w:val="6E6158"/>
          <w:sz w:val="19"/>
        </w:rPr>
        <w:t>that</w:t>
      </w:r>
      <w:r>
        <w:rPr>
          <w:color w:val="6E6158"/>
          <w:spacing w:val="22"/>
          <w:sz w:val="19"/>
        </w:rPr>
        <w:t> </w:t>
      </w:r>
      <w:r>
        <w:rPr>
          <w:color w:val="6E6158"/>
          <w:sz w:val="19"/>
        </w:rPr>
        <w:t>issued</w:t>
      </w:r>
      <w:r>
        <w:rPr>
          <w:color w:val="6E6158"/>
          <w:spacing w:val="22"/>
          <w:sz w:val="19"/>
        </w:rPr>
        <w:t> </w:t>
      </w:r>
      <w:r>
        <w:rPr>
          <w:color w:val="6E6158"/>
          <w:sz w:val="19"/>
        </w:rPr>
        <w:t>an</w:t>
      </w:r>
      <w:r>
        <w:rPr>
          <w:color w:val="6E6158"/>
          <w:spacing w:val="22"/>
          <w:sz w:val="19"/>
        </w:rPr>
        <w:t> </w:t>
      </w:r>
      <w:r>
        <w:rPr>
          <w:color w:val="6E6158"/>
          <w:sz w:val="19"/>
        </w:rPr>
        <w:t>excess</w:t>
      </w:r>
      <w:r>
        <w:rPr>
          <w:color w:val="6E6158"/>
          <w:spacing w:val="22"/>
          <w:sz w:val="19"/>
        </w:rPr>
        <w:t> </w:t>
      </w:r>
      <w:r>
        <w:rPr>
          <w:color w:val="6E6158"/>
          <w:sz w:val="19"/>
        </w:rPr>
        <w:t>policy</w:t>
      </w:r>
      <w:r>
        <w:rPr>
          <w:color w:val="6E6158"/>
          <w:spacing w:val="22"/>
          <w:sz w:val="19"/>
        </w:rPr>
        <w:t> </w:t>
      </w:r>
      <w:r>
        <w:rPr>
          <w:color w:val="6E6158"/>
          <w:sz w:val="19"/>
        </w:rPr>
        <w:t>against</w:t>
      </w:r>
      <w:r>
        <w:rPr>
          <w:color w:val="6E6158"/>
          <w:spacing w:val="22"/>
          <w:sz w:val="19"/>
        </w:rPr>
        <w:t> </w:t>
      </w:r>
      <w:r>
        <w:rPr>
          <w:color w:val="6E6158"/>
          <w:sz w:val="19"/>
        </w:rPr>
        <w:t>an</w:t>
      </w:r>
    </w:p>
    <w:p>
      <w:pPr>
        <w:pStyle w:val="BodyText"/>
        <w:spacing w:line="295" w:lineRule="auto" w:before="14"/>
      </w:pPr>
      <w:r>
        <w:rPr>
          <w:color w:val="6E6158"/>
        </w:rPr>
        <w:t>equitable subrogation and equitable contribution claim of another insurer arising out of </w:t>
      </w:r>
      <w:r>
        <w:rPr>
          <w:color w:val="6E6158"/>
        </w:rPr>
        <w:t>personal</w:t>
      </w:r>
      <w:r>
        <w:rPr>
          <w:color w:val="6E6158"/>
          <w:spacing w:val="40"/>
        </w:rPr>
        <w:t> </w:t>
      </w:r>
      <w:r>
        <w:rPr>
          <w:color w:val="6E6158"/>
        </w:rPr>
        <w:t>injury</w:t>
      </w:r>
      <w:r>
        <w:rPr>
          <w:color w:val="6E6158"/>
          <w:spacing w:val="25"/>
        </w:rPr>
        <w:t> </w:t>
      </w:r>
      <w:r>
        <w:rPr>
          <w:color w:val="6E6158"/>
        </w:rPr>
        <w:t>action</w:t>
      </w:r>
      <w:r>
        <w:rPr>
          <w:color w:val="6E6158"/>
          <w:spacing w:val="80"/>
        </w:rPr>
        <w:t> </w:t>
      </w:r>
      <w:r>
        <w:rPr>
          <w:color w:val="6E6158"/>
        </w:rPr>
        <w:t>The</w:t>
      </w:r>
      <w:r>
        <w:rPr>
          <w:color w:val="6E6158"/>
          <w:spacing w:val="25"/>
        </w:rPr>
        <w:t> </w:t>
      </w:r>
      <w:r>
        <w:rPr>
          <w:color w:val="6E6158"/>
        </w:rPr>
        <w:t>District</w:t>
      </w:r>
      <w:r>
        <w:rPr>
          <w:color w:val="6E6158"/>
          <w:spacing w:val="25"/>
        </w:rPr>
        <w:t> </w:t>
      </w:r>
      <w:r>
        <w:rPr>
          <w:color w:val="6E6158"/>
        </w:rPr>
        <w:t>Court</w:t>
      </w:r>
      <w:r>
        <w:rPr>
          <w:color w:val="6E6158"/>
          <w:spacing w:val="25"/>
        </w:rPr>
        <w:t> </w:t>
      </w:r>
      <w:r>
        <w:rPr>
          <w:color w:val="6E6158"/>
        </w:rPr>
        <w:t>granted</w:t>
      </w:r>
      <w:r>
        <w:rPr>
          <w:color w:val="6E6158"/>
          <w:spacing w:val="25"/>
        </w:rPr>
        <w:t> </w:t>
      </w:r>
      <w:r>
        <w:rPr>
          <w:color w:val="6E6158"/>
        </w:rPr>
        <w:t>summary</w:t>
      </w:r>
      <w:r>
        <w:rPr>
          <w:color w:val="6E6158"/>
          <w:spacing w:val="25"/>
        </w:rPr>
        <w:t> </w:t>
      </w:r>
      <w:r>
        <w:rPr>
          <w:color w:val="6E6158"/>
        </w:rPr>
        <w:t>judgment</w:t>
      </w:r>
      <w:r>
        <w:rPr>
          <w:color w:val="6E6158"/>
          <w:spacing w:val="25"/>
        </w:rPr>
        <w:t> </w:t>
      </w:r>
      <w:r>
        <w:rPr>
          <w:color w:val="6E6158"/>
        </w:rPr>
        <w:t>in</w:t>
      </w:r>
      <w:r>
        <w:rPr>
          <w:color w:val="6E6158"/>
          <w:spacing w:val="25"/>
        </w:rPr>
        <w:t> </w:t>
      </w:r>
      <w:r>
        <w:rPr>
          <w:color w:val="6E6158"/>
        </w:rPr>
        <w:t>favor</w:t>
      </w:r>
      <w:r>
        <w:rPr>
          <w:color w:val="6E6158"/>
          <w:spacing w:val="25"/>
        </w:rPr>
        <w:t> </w:t>
      </w:r>
      <w:r>
        <w:rPr>
          <w:color w:val="6E6158"/>
        </w:rPr>
        <w:t>of</w:t>
      </w:r>
      <w:r>
        <w:rPr>
          <w:color w:val="6E6158"/>
          <w:spacing w:val="25"/>
        </w:rPr>
        <w:t> </w:t>
      </w:r>
      <w:r>
        <w:rPr>
          <w:color w:val="6E6158"/>
        </w:rPr>
        <w:t>the</w:t>
      </w:r>
      <w:r>
        <w:rPr>
          <w:color w:val="6E6158"/>
          <w:spacing w:val="25"/>
        </w:rPr>
        <w:t> </w:t>
      </w:r>
      <w:r>
        <w:rPr>
          <w:color w:val="6E6158"/>
        </w:rPr>
        <w:t>defendant</w:t>
      </w:r>
      <w:r>
        <w:rPr>
          <w:color w:val="6E6158"/>
          <w:spacing w:val="25"/>
        </w:rPr>
        <w:t> </w:t>
      </w:r>
      <w:r>
        <w:rPr>
          <w:color w:val="6E6158"/>
        </w:rPr>
        <w:t>insurer</w:t>
      </w:r>
      <w:r>
        <w:rPr>
          <w:color w:val="6E6158"/>
          <w:spacing w:val="25"/>
        </w:rPr>
        <w:t> </w:t>
      </w:r>
      <w:r>
        <w:rPr>
          <w:color w:val="6E6158"/>
        </w:rPr>
        <w:t>on the grounds that the plaintiff insurer did not qualify as an additional insured under the defendant</w:t>
      </w:r>
      <w:r>
        <w:rPr>
          <w:color w:val="6E6158"/>
          <w:spacing w:val="40"/>
        </w:rPr>
        <w:t> </w:t>
      </w:r>
      <w:r>
        <w:rPr>
          <w:color w:val="6E6158"/>
        </w:rPr>
        <w:t>insurer’s excess policy based upon the contractual language in the subcontract between the</w:t>
      </w:r>
      <w:r>
        <w:rPr>
          <w:color w:val="6E6158"/>
          <w:spacing w:val="40"/>
        </w:rPr>
        <w:t> </w:t>
      </w:r>
      <w:r>
        <w:rPr>
          <w:color w:val="6E6158"/>
        </w:rPr>
        <w:t>named insured and the additional insured.</w:t>
      </w:r>
    </w:p>
    <w:p>
      <w:pPr>
        <w:spacing w:line="288" w:lineRule="auto" w:before="111"/>
        <w:ind w:left="99" w:right="392" w:firstLine="0"/>
        <w:jc w:val="left"/>
        <w:rPr>
          <w:sz w:val="19"/>
        </w:rPr>
      </w:pPr>
      <w:r>
        <w:rPr>
          <w:i/>
          <w:color w:val="6E6158"/>
          <w:sz w:val="20"/>
        </w:rPr>
        <w:t>North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American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Capacity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Insurance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Company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v.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Entertainment,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LLC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et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al.</w:t>
      </w:r>
      <w:r>
        <w:rPr>
          <w:color w:val="6E6158"/>
          <w:sz w:val="19"/>
        </w:rPr>
        <w:t>,</w:t>
      </w:r>
      <w:r>
        <w:rPr>
          <w:color w:val="6E6158"/>
          <w:spacing w:val="-8"/>
          <w:sz w:val="19"/>
        </w:rPr>
        <w:t> </w:t>
      </w:r>
      <w:r>
        <w:rPr>
          <w:color w:val="6E6158"/>
          <w:sz w:val="19"/>
        </w:rPr>
        <w:t>2022</w:t>
      </w:r>
      <w:r>
        <w:rPr>
          <w:color w:val="6E6158"/>
          <w:spacing w:val="-8"/>
          <w:sz w:val="19"/>
        </w:rPr>
        <w:t> </w:t>
      </w:r>
      <w:r>
        <w:rPr>
          <w:color w:val="6E6158"/>
          <w:sz w:val="19"/>
        </w:rPr>
        <w:t>WL</w:t>
      </w:r>
      <w:r>
        <w:rPr>
          <w:color w:val="6E6158"/>
          <w:spacing w:val="-8"/>
          <w:sz w:val="19"/>
        </w:rPr>
        <w:t> </w:t>
      </w:r>
      <w:r>
        <w:rPr>
          <w:color w:val="6E6158"/>
          <w:sz w:val="19"/>
        </w:rPr>
        <w:t>19520262 (C.D.</w:t>
      </w:r>
      <w:r>
        <w:rPr>
          <w:color w:val="6E6158"/>
          <w:spacing w:val="14"/>
          <w:sz w:val="19"/>
        </w:rPr>
        <w:t> </w:t>
      </w:r>
      <w:r>
        <w:rPr>
          <w:color w:val="6E6158"/>
          <w:sz w:val="19"/>
        </w:rPr>
        <w:t>Calif.,</w:t>
      </w:r>
      <w:r>
        <w:rPr>
          <w:color w:val="6E6158"/>
          <w:spacing w:val="14"/>
          <w:sz w:val="19"/>
        </w:rPr>
        <w:t> </w:t>
      </w:r>
      <w:r>
        <w:rPr>
          <w:color w:val="6E6158"/>
          <w:sz w:val="19"/>
        </w:rPr>
        <w:t>2022).</w:t>
      </w:r>
      <w:r>
        <w:rPr>
          <w:color w:val="6E6158"/>
          <w:spacing w:val="55"/>
          <w:w w:val="150"/>
          <w:sz w:val="19"/>
        </w:rPr>
        <w:t> </w:t>
      </w:r>
      <w:r>
        <w:rPr>
          <w:color w:val="6E6158"/>
          <w:sz w:val="19"/>
        </w:rPr>
        <w:t>Prosecuted</w:t>
      </w:r>
      <w:r>
        <w:rPr>
          <w:color w:val="6E6158"/>
          <w:spacing w:val="14"/>
          <w:sz w:val="19"/>
        </w:rPr>
        <w:t> </w:t>
      </w:r>
      <w:r>
        <w:rPr>
          <w:color w:val="6E6158"/>
          <w:sz w:val="19"/>
        </w:rPr>
        <w:t>declaratory</w:t>
      </w:r>
      <w:r>
        <w:rPr>
          <w:color w:val="6E6158"/>
          <w:spacing w:val="14"/>
          <w:sz w:val="19"/>
        </w:rPr>
        <w:t> </w:t>
      </w:r>
      <w:r>
        <w:rPr>
          <w:color w:val="6E6158"/>
          <w:sz w:val="19"/>
        </w:rPr>
        <w:t>relief</w:t>
      </w:r>
      <w:r>
        <w:rPr>
          <w:color w:val="6E6158"/>
          <w:spacing w:val="14"/>
          <w:sz w:val="19"/>
        </w:rPr>
        <w:t> </w:t>
      </w:r>
      <w:r>
        <w:rPr>
          <w:color w:val="6E6158"/>
          <w:sz w:val="19"/>
        </w:rPr>
        <w:t>and</w:t>
      </w:r>
      <w:r>
        <w:rPr>
          <w:color w:val="6E6158"/>
          <w:spacing w:val="14"/>
          <w:sz w:val="19"/>
        </w:rPr>
        <w:t> </w:t>
      </w:r>
      <w:r>
        <w:rPr>
          <w:color w:val="6E6158"/>
          <w:sz w:val="19"/>
        </w:rPr>
        <w:t>equitable</w:t>
      </w:r>
      <w:r>
        <w:rPr>
          <w:color w:val="6E6158"/>
          <w:spacing w:val="14"/>
          <w:sz w:val="19"/>
        </w:rPr>
        <w:t> </w:t>
      </w:r>
      <w:r>
        <w:rPr>
          <w:color w:val="6E6158"/>
          <w:sz w:val="19"/>
        </w:rPr>
        <w:t>reimbursement</w:t>
      </w:r>
      <w:r>
        <w:rPr>
          <w:color w:val="6E6158"/>
          <w:spacing w:val="14"/>
          <w:sz w:val="19"/>
        </w:rPr>
        <w:t> </w:t>
      </w:r>
      <w:r>
        <w:rPr>
          <w:color w:val="6E6158"/>
          <w:sz w:val="19"/>
        </w:rPr>
        <w:t>action</w:t>
      </w:r>
      <w:r>
        <w:rPr>
          <w:color w:val="6E6158"/>
          <w:spacing w:val="14"/>
          <w:sz w:val="19"/>
        </w:rPr>
        <w:t> </w:t>
      </w:r>
      <w:r>
        <w:rPr>
          <w:color w:val="6E6158"/>
          <w:spacing w:val="-2"/>
          <w:sz w:val="19"/>
        </w:rPr>
        <w:t>against</w:t>
      </w:r>
    </w:p>
    <w:p>
      <w:pPr>
        <w:pStyle w:val="BodyText"/>
        <w:spacing w:line="297" w:lineRule="auto" w:before="6"/>
        <w:ind w:right="56"/>
      </w:pPr>
      <w:r>
        <w:rPr>
          <w:color w:val="6E6158"/>
        </w:rPr>
        <w:t>insured arising out of an underlying employment dispute wherein the insurance policy in </w:t>
      </w:r>
      <w:r>
        <w:rPr>
          <w:color w:val="6E6158"/>
        </w:rPr>
        <w:t>question</w:t>
      </w:r>
      <w:r>
        <w:rPr>
          <w:color w:val="6E6158"/>
          <w:spacing w:val="40"/>
        </w:rPr>
        <w:t> </w:t>
      </w:r>
      <w:r>
        <w:rPr>
          <w:color w:val="6E6158"/>
        </w:rPr>
        <w:t>barred coverage for actions by employees against the named insured.</w:t>
      </w:r>
      <w:r>
        <w:rPr>
          <w:color w:val="6E6158"/>
          <w:spacing w:val="80"/>
        </w:rPr>
        <w:t> </w:t>
      </w:r>
      <w:r>
        <w:rPr>
          <w:color w:val="6E6158"/>
        </w:rPr>
        <w:t>Prevailed on behalf of insurance</w:t>
      </w:r>
      <w:r>
        <w:rPr>
          <w:color w:val="6E6158"/>
          <w:spacing w:val="25"/>
        </w:rPr>
        <w:t> </w:t>
      </w:r>
      <w:r>
        <w:rPr>
          <w:color w:val="6E6158"/>
        </w:rPr>
        <w:t>carrier</w:t>
      </w:r>
      <w:r>
        <w:rPr>
          <w:color w:val="6E6158"/>
          <w:spacing w:val="25"/>
        </w:rPr>
        <w:t> </w:t>
      </w:r>
      <w:r>
        <w:rPr>
          <w:color w:val="6E6158"/>
        </w:rPr>
        <w:t>client</w:t>
      </w:r>
      <w:r>
        <w:rPr>
          <w:color w:val="6E6158"/>
          <w:spacing w:val="25"/>
        </w:rPr>
        <w:t> </w:t>
      </w:r>
      <w:r>
        <w:rPr>
          <w:color w:val="6E6158"/>
        </w:rPr>
        <w:t>on</w:t>
      </w:r>
      <w:r>
        <w:rPr>
          <w:color w:val="6E6158"/>
          <w:spacing w:val="25"/>
        </w:rPr>
        <w:t> </w:t>
      </w:r>
      <w:r>
        <w:rPr>
          <w:color w:val="6E6158"/>
        </w:rPr>
        <w:t>motion</w:t>
      </w:r>
      <w:r>
        <w:rPr>
          <w:color w:val="6E6158"/>
          <w:spacing w:val="25"/>
        </w:rPr>
        <w:t> </w:t>
      </w:r>
      <w:r>
        <w:rPr>
          <w:color w:val="6E6158"/>
        </w:rPr>
        <w:t>to</w:t>
      </w:r>
      <w:r>
        <w:rPr>
          <w:color w:val="6E6158"/>
          <w:spacing w:val="25"/>
        </w:rPr>
        <w:t> </w:t>
      </w:r>
      <w:r>
        <w:rPr>
          <w:color w:val="6E6158"/>
        </w:rPr>
        <w:t>dismiss</w:t>
      </w:r>
      <w:r>
        <w:rPr>
          <w:color w:val="6E6158"/>
          <w:spacing w:val="25"/>
        </w:rPr>
        <w:t> </w:t>
      </w:r>
      <w:r>
        <w:rPr>
          <w:color w:val="6E6158"/>
        </w:rPr>
        <w:t>or</w:t>
      </w:r>
      <w:r>
        <w:rPr>
          <w:color w:val="6E6158"/>
          <w:spacing w:val="25"/>
        </w:rPr>
        <w:t> </w:t>
      </w:r>
      <w:r>
        <w:rPr>
          <w:color w:val="6E6158"/>
        </w:rPr>
        <w:t>stay</w:t>
      </w:r>
      <w:r>
        <w:rPr>
          <w:color w:val="6E6158"/>
          <w:spacing w:val="25"/>
        </w:rPr>
        <w:t> </w:t>
      </w:r>
      <w:r>
        <w:rPr>
          <w:color w:val="6E6158"/>
        </w:rPr>
        <w:t>the</w:t>
      </w:r>
      <w:r>
        <w:rPr>
          <w:color w:val="6E6158"/>
          <w:spacing w:val="25"/>
        </w:rPr>
        <w:t> </w:t>
      </w:r>
      <w:r>
        <w:rPr>
          <w:color w:val="6E6158"/>
        </w:rPr>
        <w:t>action</w:t>
      </w:r>
      <w:r>
        <w:rPr>
          <w:color w:val="6E6158"/>
          <w:spacing w:val="25"/>
        </w:rPr>
        <w:t> </w:t>
      </w:r>
      <w:r>
        <w:rPr>
          <w:color w:val="6E6158"/>
        </w:rPr>
        <w:t>with</w:t>
      </w:r>
      <w:r>
        <w:rPr>
          <w:color w:val="6E6158"/>
          <w:spacing w:val="25"/>
        </w:rPr>
        <w:t> </w:t>
      </w:r>
      <w:r>
        <w:rPr>
          <w:color w:val="6E6158"/>
        </w:rPr>
        <w:t>the</w:t>
      </w:r>
      <w:r>
        <w:rPr>
          <w:color w:val="6E6158"/>
          <w:spacing w:val="25"/>
        </w:rPr>
        <w:t> </w:t>
      </w:r>
      <w:r>
        <w:rPr>
          <w:color w:val="6E6158"/>
        </w:rPr>
        <w:t>court</w:t>
      </w:r>
      <w:r>
        <w:rPr>
          <w:color w:val="6E6158"/>
          <w:spacing w:val="25"/>
        </w:rPr>
        <w:t> </w:t>
      </w:r>
      <w:r>
        <w:rPr>
          <w:color w:val="6E6158"/>
        </w:rPr>
        <w:t>finding,</w:t>
      </w:r>
      <w:r>
        <w:rPr>
          <w:color w:val="6E6158"/>
          <w:spacing w:val="25"/>
        </w:rPr>
        <w:t> </w:t>
      </w:r>
      <w:r>
        <w:rPr>
          <w:color w:val="6E6158"/>
        </w:rPr>
        <w:t>among other</w:t>
      </w:r>
      <w:r>
        <w:rPr>
          <w:color w:val="6E6158"/>
          <w:spacing w:val="24"/>
        </w:rPr>
        <w:t> </w:t>
      </w:r>
      <w:r>
        <w:rPr>
          <w:color w:val="6E6158"/>
        </w:rPr>
        <w:t>things,</w:t>
      </w:r>
      <w:r>
        <w:rPr>
          <w:color w:val="6E6158"/>
          <w:spacing w:val="24"/>
        </w:rPr>
        <w:t> </w:t>
      </w:r>
      <w:r>
        <w:rPr>
          <w:color w:val="6E6158"/>
        </w:rPr>
        <w:t>that</w:t>
      </w:r>
      <w:r>
        <w:rPr>
          <w:color w:val="6E6158"/>
          <w:spacing w:val="24"/>
        </w:rPr>
        <w:t> </w:t>
      </w:r>
      <w:r>
        <w:rPr>
          <w:color w:val="6E6158"/>
        </w:rPr>
        <w:t>the</w:t>
      </w:r>
      <w:r>
        <w:rPr>
          <w:color w:val="6E6158"/>
          <w:spacing w:val="24"/>
        </w:rPr>
        <w:t> </w:t>
      </w:r>
      <w:r>
        <w:rPr>
          <w:color w:val="6E6158"/>
        </w:rPr>
        <w:t>insurance</w:t>
      </w:r>
      <w:r>
        <w:rPr>
          <w:color w:val="6E6158"/>
          <w:spacing w:val="24"/>
        </w:rPr>
        <w:t> </w:t>
      </w:r>
      <w:r>
        <w:rPr>
          <w:color w:val="6E6158"/>
        </w:rPr>
        <w:t>carrier</w:t>
      </w:r>
      <w:r>
        <w:rPr>
          <w:color w:val="6E6158"/>
          <w:spacing w:val="24"/>
        </w:rPr>
        <w:t> </w:t>
      </w:r>
      <w:r>
        <w:rPr>
          <w:color w:val="6E6158"/>
        </w:rPr>
        <w:t>had</w:t>
      </w:r>
      <w:r>
        <w:rPr>
          <w:color w:val="6E6158"/>
          <w:spacing w:val="24"/>
        </w:rPr>
        <w:t> </w:t>
      </w:r>
      <w:r>
        <w:rPr>
          <w:color w:val="6E6158"/>
        </w:rPr>
        <w:t>properly</w:t>
      </w:r>
      <w:r>
        <w:rPr>
          <w:color w:val="6E6158"/>
          <w:spacing w:val="24"/>
        </w:rPr>
        <w:t> </w:t>
      </w:r>
      <w:r>
        <w:rPr>
          <w:color w:val="6E6158"/>
        </w:rPr>
        <w:t>stated</w:t>
      </w:r>
      <w:r>
        <w:rPr>
          <w:color w:val="6E6158"/>
          <w:spacing w:val="24"/>
        </w:rPr>
        <w:t> </w:t>
      </w:r>
      <w:r>
        <w:rPr>
          <w:color w:val="6E6158"/>
        </w:rPr>
        <w:t>a</w:t>
      </w:r>
      <w:r>
        <w:rPr>
          <w:color w:val="6E6158"/>
          <w:spacing w:val="24"/>
        </w:rPr>
        <w:t> </w:t>
      </w:r>
      <w:r>
        <w:rPr>
          <w:color w:val="6E6158"/>
        </w:rPr>
        <w:t>claim</w:t>
      </w:r>
      <w:r>
        <w:rPr>
          <w:color w:val="6E6158"/>
          <w:spacing w:val="24"/>
        </w:rPr>
        <w:t> </w:t>
      </w:r>
      <w:r>
        <w:rPr>
          <w:color w:val="6E6158"/>
        </w:rPr>
        <w:t>for</w:t>
      </w:r>
      <w:r>
        <w:rPr>
          <w:color w:val="6E6158"/>
          <w:spacing w:val="24"/>
        </w:rPr>
        <w:t> </w:t>
      </w:r>
      <w:r>
        <w:rPr>
          <w:color w:val="6E6158"/>
        </w:rPr>
        <w:t>equitable</w:t>
      </w:r>
      <w:r>
        <w:rPr>
          <w:color w:val="6E6158"/>
          <w:spacing w:val="24"/>
        </w:rPr>
        <w:t> </w:t>
      </w:r>
      <w:r>
        <w:rPr>
          <w:color w:val="6E6158"/>
        </w:rPr>
        <w:t>reimbursement of a settlement payment through a proper reservation of rights.</w:t>
      </w:r>
    </w:p>
    <w:p>
      <w:pPr>
        <w:spacing w:line="288" w:lineRule="auto" w:before="108"/>
        <w:ind w:left="99" w:right="84" w:firstLine="0"/>
        <w:jc w:val="left"/>
        <w:rPr>
          <w:sz w:val="19"/>
        </w:rPr>
      </w:pPr>
      <w:r>
        <w:rPr>
          <w:color w:val="6E6158"/>
          <w:spacing w:val="-2"/>
          <w:sz w:val="19"/>
        </w:rPr>
        <w:t>A</w:t>
      </w:r>
      <w:r>
        <w:rPr>
          <w:i/>
          <w:color w:val="6E6158"/>
          <w:spacing w:val="-2"/>
          <w:sz w:val="20"/>
        </w:rPr>
        <w:t>viara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pacing w:val="-2"/>
          <w:sz w:val="20"/>
        </w:rPr>
        <w:t>Residence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pacing w:val="-2"/>
          <w:sz w:val="20"/>
        </w:rPr>
        <w:t>Club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pacing w:val="-2"/>
          <w:sz w:val="20"/>
        </w:rPr>
        <w:t>Owners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pacing w:val="-2"/>
          <w:sz w:val="20"/>
        </w:rPr>
        <w:t>Association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pacing w:val="-2"/>
          <w:sz w:val="20"/>
        </w:rPr>
        <w:t>v.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pacing w:val="-2"/>
          <w:sz w:val="20"/>
        </w:rPr>
        <w:t>Security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pacing w:val="-2"/>
          <w:sz w:val="20"/>
        </w:rPr>
        <w:t>National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pacing w:val="-2"/>
          <w:sz w:val="20"/>
        </w:rPr>
        <w:t>Insurance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pacing w:val="-2"/>
          <w:sz w:val="20"/>
        </w:rPr>
        <w:t>Company</w:t>
      </w:r>
      <w:r>
        <w:rPr>
          <w:color w:val="6E6158"/>
          <w:spacing w:val="-2"/>
          <w:sz w:val="19"/>
        </w:rPr>
        <w:t>, 2020 WL </w:t>
      </w:r>
      <w:r>
        <w:rPr>
          <w:color w:val="6E6158"/>
          <w:sz w:val="19"/>
        </w:rPr>
        <w:t>6083446</w:t>
      </w:r>
      <w:r>
        <w:rPr>
          <w:color w:val="6E6158"/>
          <w:spacing w:val="31"/>
          <w:sz w:val="19"/>
        </w:rPr>
        <w:t> </w:t>
      </w:r>
      <w:r>
        <w:rPr>
          <w:color w:val="6E6158"/>
          <w:sz w:val="19"/>
        </w:rPr>
        <w:t>(S.D.</w:t>
      </w:r>
      <w:r>
        <w:rPr>
          <w:color w:val="6E6158"/>
          <w:spacing w:val="31"/>
          <w:sz w:val="19"/>
        </w:rPr>
        <w:t> </w:t>
      </w:r>
      <w:r>
        <w:rPr>
          <w:color w:val="6E6158"/>
          <w:sz w:val="19"/>
        </w:rPr>
        <w:t>Calif.,</w:t>
      </w:r>
      <w:r>
        <w:rPr>
          <w:color w:val="6E6158"/>
          <w:spacing w:val="31"/>
          <w:sz w:val="19"/>
        </w:rPr>
        <w:t> </w:t>
      </w:r>
      <w:r>
        <w:rPr>
          <w:color w:val="6E6158"/>
          <w:sz w:val="19"/>
        </w:rPr>
        <w:t>2020).</w:t>
      </w:r>
      <w:r>
        <w:rPr>
          <w:color w:val="6E6158"/>
          <w:spacing w:val="80"/>
          <w:sz w:val="19"/>
        </w:rPr>
        <w:t> </w:t>
      </w:r>
      <w:r>
        <w:rPr>
          <w:color w:val="6E6158"/>
          <w:sz w:val="19"/>
        </w:rPr>
        <w:t>Prosecuted</w:t>
      </w:r>
      <w:r>
        <w:rPr>
          <w:color w:val="6E6158"/>
          <w:spacing w:val="31"/>
          <w:sz w:val="19"/>
        </w:rPr>
        <w:t> </w:t>
      </w:r>
      <w:r>
        <w:rPr>
          <w:color w:val="6E6158"/>
          <w:sz w:val="19"/>
        </w:rPr>
        <w:t>a</w:t>
      </w:r>
      <w:r>
        <w:rPr>
          <w:color w:val="6E6158"/>
          <w:spacing w:val="31"/>
          <w:sz w:val="19"/>
        </w:rPr>
        <w:t> </w:t>
      </w:r>
      <w:r>
        <w:rPr>
          <w:color w:val="6E6158"/>
          <w:sz w:val="19"/>
        </w:rPr>
        <w:t>bad</w:t>
      </w:r>
      <w:r>
        <w:rPr>
          <w:color w:val="6E6158"/>
          <w:spacing w:val="31"/>
          <w:sz w:val="19"/>
        </w:rPr>
        <w:t> </w:t>
      </w:r>
      <w:r>
        <w:rPr>
          <w:color w:val="6E6158"/>
          <w:sz w:val="19"/>
        </w:rPr>
        <w:t>faith,</w:t>
      </w:r>
      <w:r>
        <w:rPr>
          <w:color w:val="6E6158"/>
          <w:spacing w:val="31"/>
          <w:sz w:val="19"/>
        </w:rPr>
        <w:t> </w:t>
      </w:r>
      <w:r>
        <w:rPr>
          <w:color w:val="6E6158"/>
          <w:sz w:val="19"/>
        </w:rPr>
        <w:t>equitable</w:t>
      </w:r>
      <w:r>
        <w:rPr>
          <w:color w:val="6E6158"/>
          <w:spacing w:val="31"/>
          <w:sz w:val="19"/>
        </w:rPr>
        <w:t> </w:t>
      </w:r>
      <w:r>
        <w:rPr>
          <w:color w:val="6E6158"/>
          <w:sz w:val="19"/>
        </w:rPr>
        <w:t>subrogation</w:t>
      </w:r>
      <w:r>
        <w:rPr>
          <w:color w:val="6E6158"/>
          <w:spacing w:val="31"/>
          <w:sz w:val="19"/>
        </w:rPr>
        <w:t> </w:t>
      </w:r>
      <w:r>
        <w:rPr>
          <w:color w:val="6E6158"/>
          <w:sz w:val="19"/>
        </w:rPr>
        <w:t>and</w:t>
      </w:r>
      <w:r>
        <w:rPr>
          <w:color w:val="6E6158"/>
          <w:spacing w:val="31"/>
          <w:sz w:val="19"/>
        </w:rPr>
        <w:t> </w:t>
      </w:r>
      <w:r>
        <w:rPr>
          <w:color w:val="6E6158"/>
          <w:sz w:val="19"/>
        </w:rPr>
        <w:t>equitable</w:t>
      </w:r>
    </w:p>
    <w:p>
      <w:pPr>
        <w:pStyle w:val="BodyText"/>
        <w:spacing w:line="295" w:lineRule="auto" w:before="6"/>
        <w:ind w:right="56"/>
      </w:pPr>
      <w:r>
        <w:rPr>
          <w:color w:val="6E6158"/>
        </w:rPr>
        <w:t>contribution claim based upon claims assigned to a homeowners association client by a </w:t>
      </w:r>
      <w:r>
        <w:rPr>
          <w:color w:val="6E6158"/>
        </w:rPr>
        <w:t>general</w:t>
      </w:r>
      <w:r>
        <w:rPr>
          <w:color w:val="6E6158"/>
          <w:spacing w:val="40"/>
        </w:rPr>
        <w:t> </w:t>
      </w:r>
      <w:r>
        <w:rPr>
          <w:color w:val="6E6158"/>
        </w:rPr>
        <w:t>contractor</w:t>
      </w:r>
      <w:r>
        <w:rPr>
          <w:color w:val="6E6158"/>
          <w:spacing w:val="27"/>
        </w:rPr>
        <w:t> </w:t>
      </w:r>
      <w:r>
        <w:rPr>
          <w:color w:val="6E6158"/>
        </w:rPr>
        <w:t>arising</w:t>
      </w:r>
      <w:r>
        <w:rPr>
          <w:color w:val="6E6158"/>
          <w:spacing w:val="27"/>
        </w:rPr>
        <w:t> </w:t>
      </w:r>
      <w:r>
        <w:rPr>
          <w:color w:val="6E6158"/>
        </w:rPr>
        <w:t>out</w:t>
      </w:r>
      <w:r>
        <w:rPr>
          <w:color w:val="6E6158"/>
          <w:spacing w:val="27"/>
        </w:rPr>
        <w:t> </w:t>
      </w:r>
      <w:r>
        <w:rPr>
          <w:color w:val="6E6158"/>
        </w:rPr>
        <w:t>of</w:t>
      </w:r>
      <w:r>
        <w:rPr>
          <w:color w:val="6E6158"/>
          <w:spacing w:val="27"/>
        </w:rPr>
        <w:t> </w:t>
      </w:r>
      <w:r>
        <w:rPr>
          <w:color w:val="6E6158"/>
        </w:rPr>
        <w:t>a</w:t>
      </w:r>
      <w:r>
        <w:rPr>
          <w:color w:val="6E6158"/>
          <w:spacing w:val="27"/>
        </w:rPr>
        <w:t> </w:t>
      </w:r>
      <w:r>
        <w:rPr>
          <w:color w:val="6E6158"/>
        </w:rPr>
        <w:t>construction</w:t>
      </w:r>
      <w:r>
        <w:rPr>
          <w:color w:val="6E6158"/>
          <w:spacing w:val="27"/>
        </w:rPr>
        <w:t> </w:t>
      </w:r>
      <w:r>
        <w:rPr>
          <w:color w:val="6E6158"/>
        </w:rPr>
        <w:t>defect</w:t>
      </w:r>
      <w:r>
        <w:rPr>
          <w:color w:val="6E6158"/>
          <w:spacing w:val="27"/>
        </w:rPr>
        <w:t> </w:t>
      </w:r>
      <w:r>
        <w:rPr>
          <w:color w:val="6E6158"/>
        </w:rPr>
        <w:t>case.</w:t>
      </w:r>
      <w:r>
        <w:rPr>
          <w:color w:val="6E6158"/>
          <w:spacing w:val="80"/>
        </w:rPr>
        <w:t> </w:t>
      </w:r>
      <w:r>
        <w:rPr>
          <w:color w:val="6E6158"/>
        </w:rPr>
        <w:t>Successfully</w:t>
      </w:r>
      <w:r>
        <w:rPr>
          <w:color w:val="6E6158"/>
          <w:spacing w:val="27"/>
        </w:rPr>
        <w:t> </w:t>
      </w:r>
      <w:r>
        <w:rPr>
          <w:color w:val="6E6158"/>
        </w:rPr>
        <w:t>defeated</w:t>
      </w:r>
      <w:r>
        <w:rPr>
          <w:color w:val="6E6158"/>
          <w:spacing w:val="27"/>
        </w:rPr>
        <w:t> </w:t>
      </w:r>
      <w:r>
        <w:rPr>
          <w:color w:val="6E6158"/>
        </w:rPr>
        <w:t>a</w:t>
      </w:r>
      <w:r>
        <w:rPr>
          <w:color w:val="6E6158"/>
          <w:spacing w:val="27"/>
        </w:rPr>
        <w:t> </w:t>
      </w:r>
      <w:r>
        <w:rPr>
          <w:color w:val="6E6158"/>
        </w:rPr>
        <w:t>motion</w:t>
      </w:r>
      <w:r>
        <w:rPr>
          <w:color w:val="6E6158"/>
          <w:spacing w:val="27"/>
        </w:rPr>
        <w:t> </w:t>
      </w:r>
      <w:r>
        <w:rPr>
          <w:color w:val="6E6158"/>
        </w:rPr>
        <w:t>to</w:t>
      </w:r>
      <w:r>
        <w:rPr>
          <w:color w:val="6E6158"/>
          <w:spacing w:val="27"/>
        </w:rPr>
        <w:t> </w:t>
      </w:r>
      <w:r>
        <w:rPr>
          <w:color w:val="6E6158"/>
        </w:rPr>
        <w:t>dismiss in Federal Court by the defendant insurer under theories of promissory estoppel and negligent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misrepresentation.</w:t>
      </w:r>
    </w:p>
    <w:p>
      <w:pPr>
        <w:spacing w:before="113"/>
        <w:ind w:left="99" w:right="0" w:firstLine="0"/>
        <w:jc w:val="left"/>
        <w:rPr>
          <w:sz w:val="19"/>
        </w:rPr>
      </w:pPr>
      <w:r>
        <w:rPr>
          <w:i/>
          <w:color w:val="6E6158"/>
          <w:spacing w:val="-2"/>
          <w:sz w:val="20"/>
        </w:rPr>
        <w:t>Liberty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pacing w:val="-2"/>
          <w:sz w:val="20"/>
        </w:rPr>
        <w:t>Mutual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pacing w:val="-2"/>
          <w:sz w:val="20"/>
        </w:rPr>
        <w:t>Insurance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pacing w:val="-2"/>
          <w:sz w:val="20"/>
        </w:rPr>
        <w:t>Company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pacing w:val="-2"/>
          <w:sz w:val="20"/>
        </w:rPr>
        <w:t>v.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pacing w:val="-2"/>
          <w:sz w:val="20"/>
        </w:rPr>
        <w:t>Bosa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pacing w:val="-2"/>
          <w:sz w:val="20"/>
        </w:rPr>
        <w:t>Development California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pacing w:val="-2"/>
          <w:sz w:val="20"/>
        </w:rPr>
        <w:t>II,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pacing w:val="-2"/>
          <w:sz w:val="20"/>
        </w:rPr>
        <w:t>Inc.</w:t>
      </w:r>
      <w:r>
        <w:rPr>
          <w:color w:val="6E6158"/>
          <w:spacing w:val="-2"/>
          <w:sz w:val="19"/>
        </w:rPr>
        <w:t>,</w:t>
      </w:r>
      <w:r>
        <w:rPr>
          <w:color w:val="6E6158"/>
          <w:sz w:val="19"/>
        </w:rPr>
        <w:t> </w:t>
      </w:r>
      <w:r>
        <w:rPr>
          <w:color w:val="6E6158"/>
          <w:spacing w:val="-2"/>
          <w:sz w:val="19"/>
        </w:rPr>
        <w:t>2019</w:t>
      </w:r>
      <w:r>
        <w:rPr>
          <w:color w:val="6E6158"/>
          <w:sz w:val="19"/>
        </w:rPr>
        <w:t> </w:t>
      </w:r>
      <w:r>
        <w:rPr>
          <w:color w:val="6E6158"/>
          <w:spacing w:val="-2"/>
          <w:sz w:val="19"/>
        </w:rPr>
        <w:t>WL</w:t>
      </w:r>
      <w:r>
        <w:rPr>
          <w:color w:val="6E6158"/>
          <w:sz w:val="19"/>
        </w:rPr>
        <w:t> </w:t>
      </w:r>
      <w:r>
        <w:rPr>
          <w:color w:val="6E6158"/>
          <w:spacing w:val="-2"/>
          <w:sz w:val="19"/>
        </w:rPr>
        <w:t>3306304</w:t>
      </w:r>
      <w:r>
        <w:rPr>
          <w:color w:val="6E6158"/>
          <w:sz w:val="19"/>
        </w:rPr>
        <w:t> </w:t>
      </w:r>
      <w:r>
        <w:rPr>
          <w:color w:val="6E6158"/>
          <w:spacing w:val="-2"/>
          <w:sz w:val="19"/>
        </w:rPr>
        <w:t>(S.D.</w:t>
      </w:r>
    </w:p>
    <w:p>
      <w:pPr>
        <w:pStyle w:val="BodyText"/>
        <w:spacing w:line="292" w:lineRule="auto" w:before="58"/>
      </w:pPr>
      <w:r>
        <w:rPr>
          <w:color w:val="6E6158"/>
        </w:rPr>
        <w:t>Calif., 2019).</w:t>
      </w:r>
      <w:r>
        <w:rPr>
          <w:color w:val="6E6158"/>
          <w:spacing w:val="80"/>
        </w:rPr>
        <w:t> </w:t>
      </w:r>
      <w:r>
        <w:rPr>
          <w:color w:val="6E6158"/>
        </w:rPr>
        <w:t>Defended residential developer and general contractor clients in a </w:t>
      </w:r>
      <w:r>
        <w:rPr>
          <w:color w:val="6E6158"/>
        </w:rPr>
        <w:t>deductible reimbursement</w:t>
      </w:r>
      <w:r>
        <w:rPr>
          <w:color w:val="6E6158"/>
          <w:spacing w:val="37"/>
        </w:rPr>
        <w:t> </w:t>
      </w:r>
      <w:r>
        <w:rPr>
          <w:color w:val="6E6158"/>
        </w:rPr>
        <w:t>claim</w:t>
      </w:r>
      <w:r>
        <w:rPr>
          <w:color w:val="6E6158"/>
          <w:spacing w:val="37"/>
        </w:rPr>
        <w:t> </w:t>
      </w:r>
      <w:r>
        <w:rPr>
          <w:color w:val="6E6158"/>
        </w:rPr>
        <w:t>based</w:t>
      </w:r>
      <w:r>
        <w:rPr>
          <w:color w:val="6E6158"/>
          <w:spacing w:val="37"/>
        </w:rPr>
        <w:t> </w:t>
      </w:r>
      <w:r>
        <w:rPr>
          <w:color w:val="6E6158"/>
        </w:rPr>
        <w:t>upon</w:t>
      </w:r>
      <w:r>
        <w:rPr>
          <w:color w:val="6E6158"/>
          <w:spacing w:val="37"/>
        </w:rPr>
        <w:t> </w:t>
      </w:r>
      <w:r>
        <w:rPr>
          <w:color w:val="6E6158"/>
        </w:rPr>
        <w:t>legal</w:t>
      </w:r>
      <w:r>
        <w:rPr>
          <w:color w:val="6E6158"/>
          <w:spacing w:val="37"/>
        </w:rPr>
        <w:t> </w:t>
      </w:r>
      <w:r>
        <w:rPr>
          <w:color w:val="6E6158"/>
        </w:rPr>
        <w:t>questions</w:t>
      </w:r>
      <w:r>
        <w:rPr>
          <w:color w:val="6E6158"/>
          <w:spacing w:val="37"/>
        </w:rPr>
        <w:t> </w:t>
      </w:r>
      <w:r>
        <w:rPr>
          <w:color w:val="6E6158"/>
        </w:rPr>
        <w:t>of</w:t>
      </w:r>
      <w:r>
        <w:rPr>
          <w:color w:val="6E6158"/>
          <w:spacing w:val="37"/>
        </w:rPr>
        <w:t> </w:t>
      </w:r>
      <w:r>
        <w:rPr>
          <w:color w:val="6E6158"/>
        </w:rPr>
        <w:t>single</w:t>
      </w:r>
      <w:r>
        <w:rPr>
          <w:color w:val="6E6158"/>
          <w:spacing w:val="37"/>
        </w:rPr>
        <w:t> </w:t>
      </w:r>
      <w:r>
        <w:rPr>
          <w:color w:val="6E6158"/>
        </w:rPr>
        <w:t>versus</w:t>
      </w:r>
      <w:r>
        <w:rPr>
          <w:color w:val="6E6158"/>
          <w:spacing w:val="37"/>
        </w:rPr>
        <w:t> </w:t>
      </w:r>
      <w:r>
        <w:rPr>
          <w:color w:val="6E6158"/>
        </w:rPr>
        <w:t>multiple</w:t>
      </w:r>
      <w:r>
        <w:rPr>
          <w:color w:val="6E6158"/>
          <w:spacing w:val="37"/>
        </w:rPr>
        <w:t> </w:t>
      </w:r>
      <w:r>
        <w:rPr>
          <w:color w:val="6E6158"/>
        </w:rPr>
        <w:t>occurrences.</w:t>
      </w:r>
    </w:p>
    <w:p>
      <w:pPr>
        <w:pStyle w:val="BodyText"/>
        <w:spacing w:line="292" w:lineRule="auto" w:before="1"/>
        <w:ind w:right="1067"/>
      </w:pPr>
      <w:r>
        <w:rPr>
          <w:color w:val="6E6158"/>
        </w:rPr>
        <w:t>Prevailed</w:t>
      </w:r>
      <w:r>
        <w:rPr>
          <w:color w:val="6E6158"/>
          <w:spacing w:val="14"/>
        </w:rPr>
        <w:t> </w:t>
      </w:r>
      <w:r>
        <w:rPr>
          <w:color w:val="6E6158"/>
        </w:rPr>
        <w:t>in</w:t>
      </w:r>
      <w:r>
        <w:rPr>
          <w:color w:val="6E6158"/>
          <w:spacing w:val="14"/>
        </w:rPr>
        <w:t> </w:t>
      </w:r>
      <w:r>
        <w:rPr>
          <w:color w:val="6E6158"/>
        </w:rPr>
        <w:t>a</w:t>
      </w:r>
      <w:r>
        <w:rPr>
          <w:color w:val="6E6158"/>
          <w:spacing w:val="14"/>
        </w:rPr>
        <w:t> </w:t>
      </w:r>
      <w:r>
        <w:rPr>
          <w:color w:val="6E6158"/>
        </w:rPr>
        <w:t>motion</w:t>
      </w:r>
      <w:r>
        <w:rPr>
          <w:color w:val="6E6158"/>
          <w:spacing w:val="14"/>
        </w:rPr>
        <w:t> </w:t>
      </w:r>
      <w:r>
        <w:rPr>
          <w:color w:val="6E6158"/>
        </w:rPr>
        <w:t>to</w:t>
      </w:r>
      <w:r>
        <w:rPr>
          <w:color w:val="6E6158"/>
          <w:spacing w:val="14"/>
        </w:rPr>
        <w:t> </w:t>
      </w:r>
      <w:r>
        <w:rPr>
          <w:color w:val="6E6158"/>
        </w:rPr>
        <w:t>strike</w:t>
      </w:r>
      <w:r>
        <w:rPr>
          <w:color w:val="6E6158"/>
          <w:spacing w:val="14"/>
        </w:rPr>
        <w:t> </w:t>
      </w:r>
      <w:r>
        <w:rPr>
          <w:color w:val="6E6158"/>
        </w:rPr>
        <w:t>the</w:t>
      </w:r>
      <w:r>
        <w:rPr>
          <w:color w:val="6E6158"/>
          <w:spacing w:val="14"/>
        </w:rPr>
        <w:t> </w:t>
      </w:r>
      <w:r>
        <w:rPr>
          <w:color w:val="6E6158"/>
        </w:rPr>
        <w:t>plaintiff</w:t>
      </w:r>
      <w:r>
        <w:rPr>
          <w:color w:val="6E6158"/>
          <w:spacing w:val="14"/>
        </w:rPr>
        <w:t> </w:t>
      </w:r>
      <w:r>
        <w:rPr>
          <w:color w:val="6E6158"/>
        </w:rPr>
        <w:t>insurance</w:t>
      </w:r>
      <w:r>
        <w:rPr>
          <w:color w:val="6E6158"/>
          <w:spacing w:val="14"/>
        </w:rPr>
        <w:t> </w:t>
      </w:r>
      <w:r>
        <w:rPr>
          <w:color w:val="6E6158"/>
        </w:rPr>
        <w:t>carrier’s</w:t>
      </w:r>
      <w:r>
        <w:rPr>
          <w:color w:val="6E6158"/>
          <w:spacing w:val="14"/>
        </w:rPr>
        <w:t> </w:t>
      </w:r>
      <w:r>
        <w:rPr>
          <w:color w:val="6E6158"/>
        </w:rPr>
        <w:t>attempt</w:t>
      </w:r>
      <w:r>
        <w:rPr>
          <w:color w:val="6E6158"/>
          <w:spacing w:val="14"/>
        </w:rPr>
        <w:t> </w:t>
      </w:r>
      <w:r>
        <w:rPr>
          <w:color w:val="6E6158"/>
        </w:rPr>
        <w:t>to</w:t>
      </w:r>
      <w:r>
        <w:rPr>
          <w:color w:val="6E6158"/>
          <w:spacing w:val="14"/>
        </w:rPr>
        <w:t> </w:t>
      </w:r>
      <w:r>
        <w:rPr>
          <w:color w:val="6E6158"/>
        </w:rPr>
        <w:t>use</w:t>
      </w:r>
      <w:r>
        <w:rPr>
          <w:color w:val="6E6158"/>
          <w:spacing w:val="14"/>
        </w:rPr>
        <w:t> </w:t>
      </w:r>
      <w:r>
        <w:rPr>
          <w:color w:val="6E6158"/>
        </w:rPr>
        <w:t>mediation-protected</w:t>
      </w:r>
      <w:r>
        <w:rPr>
          <w:color w:val="6E6158"/>
          <w:spacing w:val="25"/>
        </w:rPr>
        <w:t> </w:t>
      </w:r>
      <w:r>
        <w:rPr>
          <w:color w:val="6E6158"/>
        </w:rPr>
        <w:t>documents</w:t>
      </w:r>
      <w:r>
        <w:rPr>
          <w:color w:val="6E6158"/>
          <w:spacing w:val="25"/>
        </w:rPr>
        <w:t> </w:t>
      </w:r>
      <w:r>
        <w:rPr>
          <w:color w:val="6E6158"/>
        </w:rPr>
        <w:t>in</w:t>
      </w:r>
      <w:r>
        <w:rPr>
          <w:color w:val="6E6158"/>
          <w:spacing w:val="25"/>
        </w:rPr>
        <w:t> </w:t>
      </w:r>
      <w:r>
        <w:rPr>
          <w:color w:val="6E6158"/>
        </w:rPr>
        <w:t>support</w:t>
      </w:r>
      <w:r>
        <w:rPr>
          <w:color w:val="6E6158"/>
          <w:spacing w:val="25"/>
        </w:rPr>
        <w:t> </w:t>
      </w:r>
      <w:r>
        <w:rPr>
          <w:color w:val="6E6158"/>
        </w:rPr>
        <w:t>of</w:t>
      </w:r>
      <w:r>
        <w:rPr>
          <w:color w:val="6E6158"/>
          <w:spacing w:val="25"/>
        </w:rPr>
        <w:t> </w:t>
      </w:r>
      <w:r>
        <w:rPr>
          <w:color w:val="6E6158"/>
        </w:rPr>
        <w:t>the</w:t>
      </w:r>
      <w:r>
        <w:rPr>
          <w:color w:val="6E6158"/>
          <w:spacing w:val="25"/>
        </w:rPr>
        <w:t> </w:t>
      </w:r>
      <w:r>
        <w:rPr>
          <w:color w:val="6E6158"/>
        </w:rPr>
        <w:t>insurance</w:t>
      </w:r>
      <w:r>
        <w:rPr>
          <w:color w:val="6E6158"/>
          <w:spacing w:val="25"/>
        </w:rPr>
        <w:t> </w:t>
      </w:r>
      <w:r>
        <w:rPr>
          <w:color w:val="6E6158"/>
        </w:rPr>
        <w:t>carrier’s</w:t>
      </w:r>
      <w:r>
        <w:rPr>
          <w:color w:val="6E6158"/>
          <w:spacing w:val="25"/>
        </w:rPr>
        <w:t> </w:t>
      </w:r>
      <w:r>
        <w:rPr>
          <w:color w:val="6E6158"/>
        </w:rPr>
        <w:t>summary</w:t>
      </w:r>
      <w:r>
        <w:rPr>
          <w:color w:val="6E6158"/>
          <w:spacing w:val="25"/>
        </w:rPr>
        <w:t> </w:t>
      </w:r>
      <w:r>
        <w:rPr>
          <w:color w:val="6E6158"/>
        </w:rPr>
        <w:t>judgment</w:t>
      </w:r>
      <w:r>
        <w:rPr>
          <w:color w:val="6E6158"/>
          <w:spacing w:val="25"/>
        </w:rPr>
        <w:t> </w:t>
      </w:r>
      <w:r>
        <w:rPr>
          <w:color w:val="6E6158"/>
        </w:rPr>
        <w:t>motion.</w:t>
      </w:r>
    </w:p>
    <w:p>
      <w:pPr>
        <w:spacing w:line="290" w:lineRule="auto" w:before="122"/>
        <w:ind w:left="99" w:right="84" w:firstLine="0"/>
        <w:jc w:val="left"/>
        <w:rPr>
          <w:sz w:val="19"/>
        </w:rPr>
      </w:pPr>
      <w:r>
        <w:rPr>
          <w:i/>
          <w:color w:val="6E6158"/>
          <w:spacing w:val="-2"/>
          <w:sz w:val="20"/>
        </w:rPr>
        <w:t>Evanston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pacing w:val="-2"/>
          <w:sz w:val="20"/>
        </w:rPr>
        <w:t>Insurance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pacing w:val="-2"/>
          <w:sz w:val="20"/>
        </w:rPr>
        <w:t>Company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pacing w:val="-2"/>
          <w:sz w:val="20"/>
        </w:rPr>
        <w:t>v.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pacing w:val="-2"/>
          <w:sz w:val="20"/>
        </w:rPr>
        <w:t>Southridge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pacing w:val="-2"/>
          <w:sz w:val="20"/>
        </w:rPr>
        <w:t>Property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pacing w:val="-2"/>
          <w:sz w:val="20"/>
        </w:rPr>
        <w:t>Owners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pacing w:val="-2"/>
          <w:sz w:val="20"/>
        </w:rPr>
        <w:t>Association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pacing w:val="-2"/>
          <w:sz w:val="20"/>
        </w:rPr>
        <w:t>of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pacing w:val="-2"/>
          <w:sz w:val="20"/>
        </w:rPr>
        <w:t>Palm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pacing w:val="-2"/>
          <w:sz w:val="20"/>
        </w:rPr>
        <w:t>Springs,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pacing w:val="-2"/>
          <w:sz w:val="20"/>
        </w:rPr>
        <w:t>Inc.</w:t>
      </w:r>
      <w:r>
        <w:rPr>
          <w:color w:val="6E6158"/>
          <w:spacing w:val="-2"/>
          <w:sz w:val="19"/>
        </w:rPr>
        <w:t>, </w:t>
      </w:r>
      <w:r>
        <w:rPr>
          <w:color w:val="6E6158"/>
          <w:sz w:val="19"/>
        </w:rPr>
        <w:t>(C.D. Calif., 2019).</w:t>
      </w:r>
      <w:r>
        <w:rPr>
          <w:color w:val="6E6158"/>
          <w:spacing w:val="80"/>
          <w:sz w:val="19"/>
        </w:rPr>
        <w:t> </w:t>
      </w:r>
      <w:r>
        <w:rPr>
          <w:color w:val="6E6158"/>
          <w:sz w:val="19"/>
        </w:rPr>
        <w:t>Defended homeowners association in a declaratory relief action by an insurance</w:t>
      </w:r>
      <w:r>
        <w:rPr>
          <w:color w:val="6E6158"/>
          <w:spacing w:val="21"/>
          <w:sz w:val="19"/>
        </w:rPr>
        <w:t> </w:t>
      </w:r>
      <w:r>
        <w:rPr>
          <w:color w:val="6E6158"/>
          <w:sz w:val="19"/>
        </w:rPr>
        <w:t>carrier</w:t>
      </w:r>
      <w:r>
        <w:rPr>
          <w:color w:val="6E6158"/>
          <w:spacing w:val="21"/>
          <w:sz w:val="19"/>
        </w:rPr>
        <w:t> </w:t>
      </w:r>
      <w:r>
        <w:rPr>
          <w:color w:val="6E6158"/>
          <w:sz w:val="19"/>
        </w:rPr>
        <w:t>arising</w:t>
      </w:r>
      <w:r>
        <w:rPr>
          <w:color w:val="6E6158"/>
          <w:spacing w:val="21"/>
          <w:sz w:val="19"/>
        </w:rPr>
        <w:t> </w:t>
      </w:r>
      <w:r>
        <w:rPr>
          <w:color w:val="6E6158"/>
          <w:sz w:val="19"/>
        </w:rPr>
        <w:t>out</w:t>
      </w:r>
      <w:r>
        <w:rPr>
          <w:color w:val="6E6158"/>
          <w:spacing w:val="21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21"/>
          <w:sz w:val="19"/>
        </w:rPr>
        <w:t> </w:t>
      </w:r>
      <w:r>
        <w:rPr>
          <w:color w:val="6E6158"/>
          <w:sz w:val="19"/>
        </w:rPr>
        <w:t>underlying</w:t>
      </w:r>
      <w:r>
        <w:rPr>
          <w:color w:val="6E6158"/>
          <w:spacing w:val="21"/>
          <w:sz w:val="19"/>
        </w:rPr>
        <w:t> </w:t>
      </w:r>
      <w:r>
        <w:rPr>
          <w:color w:val="6E6158"/>
          <w:sz w:val="19"/>
        </w:rPr>
        <w:t>trespass</w:t>
      </w:r>
      <w:r>
        <w:rPr>
          <w:color w:val="6E6158"/>
          <w:spacing w:val="21"/>
          <w:sz w:val="19"/>
        </w:rPr>
        <w:t> </w:t>
      </w:r>
      <w:r>
        <w:rPr>
          <w:color w:val="6E6158"/>
          <w:sz w:val="19"/>
        </w:rPr>
        <w:t>claim</w:t>
      </w:r>
      <w:r>
        <w:rPr>
          <w:color w:val="6E6158"/>
          <w:spacing w:val="21"/>
          <w:sz w:val="19"/>
        </w:rPr>
        <w:t> </w:t>
      </w:r>
      <w:r>
        <w:rPr>
          <w:color w:val="6E6158"/>
          <w:sz w:val="19"/>
        </w:rPr>
        <w:t>against</w:t>
      </w:r>
      <w:r>
        <w:rPr>
          <w:color w:val="6E6158"/>
          <w:spacing w:val="21"/>
          <w:sz w:val="19"/>
        </w:rPr>
        <w:t> </w:t>
      </w:r>
      <w:r>
        <w:rPr>
          <w:color w:val="6E6158"/>
          <w:sz w:val="19"/>
        </w:rPr>
        <w:t>the</w:t>
      </w:r>
      <w:r>
        <w:rPr>
          <w:color w:val="6E6158"/>
          <w:spacing w:val="21"/>
          <w:sz w:val="19"/>
        </w:rPr>
        <w:t> </w:t>
      </w:r>
      <w:r>
        <w:rPr>
          <w:color w:val="6E6158"/>
          <w:sz w:val="19"/>
        </w:rPr>
        <w:t>homeowners</w:t>
      </w:r>
      <w:r>
        <w:rPr>
          <w:color w:val="6E6158"/>
          <w:spacing w:val="21"/>
          <w:sz w:val="19"/>
        </w:rPr>
        <w:t> </w:t>
      </w:r>
      <w:r>
        <w:rPr>
          <w:color w:val="6E6158"/>
          <w:sz w:val="19"/>
        </w:rPr>
        <w:t>association.</w:t>
      </w:r>
    </w:p>
    <w:p>
      <w:pPr>
        <w:pStyle w:val="BodyText"/>
        <w:spacing w:before="12"/>
      </w:pPr>
      <w:r>
        <w:rPr>
          <w:color w:val="6E6158"/>
        </w:rPr>
        <w:t>Prevailed</w:t>
      </w:r>
      <w:r>
        <w:rPr>
          <w:color w:val="6E6158"/>
          <w:spacing w:val="11"/>
        </w:rPr>
        <w:t> </w:t>
      </w:r>
      <w:r>
        <w:rPr>
          <w:color w:val="6E6158"/>
        </w:rPr>
        <w:t>on</w:t>
      </w:r>
      <w:r>
        <w:rPr>
          <w:color w:val="6E6158"/>
          <w:spacing w:val="12"/>
        </w:rPr>
        <w:t> </w:t>
      </w:r>
      <w:r>
        <w:rPr>
          <w:color w:val="6E6158"/>
        </w:rPr>
        <w:t>a</w:t>
      </w:r>
      <w:r>
        <w:rPr>
          <w:color w:val="6E6158"/>
          <w:spacing w:val="12"/>
        </w:rPr>
        <w:t> </w:t>
      </w:r>
      <w:r>
        <w:rPr>
          <w:color w:val="6E6158"/>
        </w:rPr>
        <w:t>motion</w:t>
      </w:r>
      <w:r>
        <w:rPr>
          <w:color w:val="6E6158"/>
          <w:spacing w:val="12"/>
        </w:rPr>
        <w:t> </w:t>
      </w:r>
      <w:r>
        <w:rPr>
          <w:color w:val="6E6158"/>
        </w:rPr>
        <w:t>to</w:t>
      </w:r>
      <w:r>
        <w:rPr>
          <w:color w:val="6E6158"/>
          <w:spacing w:val="12"/>
        </w:rPr>
        <w:t> </w:t>
      </w:r>
      <w:r>
        <w:rPr>
          <w:color w:val="6E6158"/>
        </w:rPr>
        <w:t>dismiss</w:t>
      </w:r>
      <w:r>
        <w:rPr>
          <w:color w:val="6E6158"/>
          <w:spacing w:val="11"/>
        </w:rPr>
        <w:t> </w:t>
      </w:r>
      <w:r>
        <w:rPr>
          <w:color w:val="6E6158"/>
        </w:rPr>
        <w:t>the</w:t>
      </w:r>
      <w:r>
        <w:rPr>
          <w:color w:val="6E6158"/>
          <w:spacing w:val="12"/>
        </w:rPr>
        <w:t> </w:t>
      </w:r>
      <w:r>
        <w:rPr>
          <w:color w:val="6E6158"/>
        </w:rPr>
        <w:t>insurance</w:t>
      </w:r>
      <w:r>
        <w:rPr>
          <w:color w:val="6E6158"/>
          <w:spacing w:val="12"/>
        </w:rPr>
        <w:t> </w:t>
      </w:r>
      <w:r>
        <w:rPr>
          <w:color w:val="6E6158"/>
        </w:rPr>
        <w:t>carrier’s</w:t>
      </w:r>
      <w:r>
        <w:rPr>
          <w:color w:val="6E6158"/>
          <w:spacing w:val="12"/>
        </w:rPr>
        <w:t> </w:t>
      </w:r>
      <w:r>
        <w:rPr>
          <w:color w:val="6E6158"/>
        </w:rPr>
        <w:t>entire</w:t>
      </w:r>
      <w:r>
        <w:rPr>
          <w:color w:val="6E6158"/>
          <w:spacing w:val="12"/>
        </w:rPr>
        <w:t> </w:t>
      </w:r>
      <w:r>
        <w:rPr>
          <w:color w:val="6E6158"/>
        </w:rPr>
        <w:t>complaint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under</w:t>
      </w:r>
    </w:p>
    <w:p>
      <w:pPr>
        <w:pStyle w:val="BodyText"/>
        <w:spacing w:line="295" w:lineRule="auto" w:before="52"/>
        <w:ind w:right="443"/>
        <w:jc w:val="both"/>
      </w:pPr>
      <w:r>
        <w:rPr>
          <w:color w:val="6E6158"/>
        </w:rPr>
        <w:t>the </w:t>
      </w:r>
      <w:r>
        <w:rPr>
          <w:color w:val="6E6158"/>
          <w:u w:val="single" w:color="6E6158"/>
        </w:rPr>
        <w:t>Brillhart</w:t>
      </w:r>
      <w:r>
        <w:rPr>
          <w:color w:val="6E6158"/>
          <w:u w:val="none"/>
        </w:rPr>
        <w:t> factors on the grounds that having a federal court decide the case would require the court to decide a state law question that could have res judicata effect in the underlying state court action, an outcome which would cause unnecessary entanglement between the federal and state court systems.</w:t>
      </w:r>
    </w:p>
    <w:p>
      <w:pPr>
        <w:pStyle w:val="BodyText"/>
        <w:spacing w:line="295" w:lineRule="auto" w:before="116"/>
        <w:ind w:right="84"/>
      </w:pPr>
      <w:r>
        <w:rPr>
          <w:i/>
          <w:color w:val="6E6158"/>
          <w:sz w:val="20"/>
        </w:rPr>
        <w:t>Centex Golden Construction Company v. Dale Tile Company</w:t>
      </w:r>
      <w:r>
        <w:rPr>
          <w:color w:val="6E6158"/>
        </w:rPr>
        <w:t>, 78 Cal. App. 4</w:t>
      </w:r>
      <w:r>
        <w:rPr>
          <w:color w:val="6E6158"/>
          <w:position w:val="7"/>
          <w:sz w:val="16"/>
        </w:rPr>
        <w:t>th </w:t>
      </w:r>
      <w:r>
        <w:rPr>
          <w:color w:val="6E6158"/>
        </w:rPr>
        <w:t>992 (2000). Prosecuted contractual indemnity claim on behalf a general contractor against a </w:t>
      </w:r>
      <w:r>
        <w:rPr>
          <w:color w:val="6E6158"/>
        </w:rPr>
        <w:t>subcontractor</w:t>
      </w:r>
      <w:r>
        <w:rPr>
          <w:color w:val="6E6158"/>
          <w:spacing w:val="40"/>
        </w:rPr>
        <w:t> </w:t>
      </w:r>
      <w:r>
        <w:rPr>
          <w:color w:val="6E6158"/>
        </w:rPr>
        <w:t>arising out of a construction defect claim through trial and appeal.</w:t>
      </w:r>
      <w:r>
        <w:rPr>
          <w:color w:val="6E6158"/>
          <w:spacing w:val="80"/>
        </w:rPr>
        <w:t> </w:t>
      </w:r>
      <w:r>
        <w:rPr>
          <w:color w:val="6E6158"/>
        </w:rPr>
        <w:t>The trial court and court of appeal enforced a contractual indemnity against the subcontractor based upon alleged</w:t>
      </w:r>
      <w:r>
        <w:rPr>
          <w:color w:val="6E6158"/>
          <w:spacing w:val="40"/>
        </w:rPr>
        <w:t> </w:t>
      </w:r>
      <w:r>
        <w:rPr>
          <w:color w:val="6E6158"/>
        </w:rPr>
        <w:t>negligence despite a finding that no party was at fault for tile cracking defects.</w:t>
      </w:r>
    </w:p>
    <w:p>
      <w:pPr>
        <w:pStyle w:val="BodyText"/>
        <w:spacing w:before="105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7" w:lineRule="auto"/>
        <w:ind w:right="2290"/>
      </w:pPr>
      <w:r>
        <w:rPr>
          <w:color w:val="6E6158"/>
        </w:rPr>
        <w:t>AV® Preeminent™ Peer Review Rating by Martindale</w:t>
      </w:r>
      <w:r>
        <w:rPr>
          <w:rFonts w:ascii="Arimo" w:hAnsi="Arimo"/>
          <w:color w:val="6E6158"/>
        </w:rPr>
        <w:t>-</w:t>
      </w:r>
      <w:r>
        <w:rPr>
          <w:color w:val="6E6158"/>
        </w:rPr>
        <w:t>Hubbell, 2006-</w:t>
      </w:r>
      <w:r>
        <w:rPr>
          <w:color w:val="6E6158"/>
        </w:rPr>
        <w:t>2025 Top Rated Litigator by the Legal Leaders of ALM, 2021-2023</w:t>
      </w:r>
    </w:p>
    <w:p>
      <w:pPr>
        <w:pStyle w:val="BodyText"/>
        <w:spacing w:line="420" w:lineRule="auto"/>
        <w:ind w:right="3336"/>
      </w:pPr>
      <w:r>
        <w:rPr>
          <w:color w:val="6E6158"/>
        </w:rPr>
        <w:t>Best Lawyers in America®,</w:t>
      </w:r>
      <w:r>
        <w:rPr>
          <w:color w:val="6E6158"/>
          <w:spacing w:val="40"/>
        </w:rPr>
        <w:t> </w:t>
      </w:r>
      <w:r>
        <w:rPr>
          <w:color w:val="6E6158"/>
        </w:rPr>
        <w:t>Litigation – Construction, 2024-</w:t>
      </w:r>
      <w:r>
        <w:rPr>
          <w:color w:val="6E6158"/>
        </w:rPr>
        <w:t>2027 Super Lawyer – Insurance Coverage, 2019-2024</w:t>
      </w:r>
    </w:p>
    <w:p>
      <w:pPr>
        <w:pStyle w:val="BodyText"/>
        <w:spacing w:after="0" w:line="420" w:lineRule="auto"/>
        <w:sectPr>
          <w:pgSz w:w="12240" w:h="15840"/>
          <w:pgMar w:top="580" w:bottom="280" w:left="1440" w:right="1440"/>
        </w:sectPr>
      </w:pPr>
    </w:p>
    <w:p>
      <w:pPr>
        <w:pStyle w:val="BodyText"/>
        <w:spacing w:line="420" w:lineRule="auto" w:before="83"/>
        <w:ind w:right="3336"/>
      </w:pPr>
      <w:r>
        <w:rPr>
          <w:color w:val="6E6158"/>
        </w:rPr>
        <w:t>Top San Diego Lawyer, San Diego Magazine, 2013-2023, </w:t>
      </w:r>
      <w:r>
        <w:rPr>
          <w:color w:val="6E6158"/>
        </w:rPr>
        <w:t>2025 Top 100 Leaders in Law by San Diego Business Journal</w:t>
      </w:r>
    </w:p>
    <w:p>
      <w:pPr>
        <w:pStyle w:val="BodyText"/>
        <w:spacing w:before="7"/>
      </w:pPr>
      <w:r>
        <w:rPr>
          <w:color w:val="6E6158"/>
        </w:rPr>
        <w:t>Top</w:t>
      </w:r>
      <w:r>
        <w:rPr>
          <w:color w:val="6E6158"/>
          <w:spacing w:val="12"/>
        </w:rPr>
        <w:t> </w:t>
      </w:r>
      <w:r>
        <w:rPr>
          <w:color w:val="6E6158"/>
        </w:rPr>
        <w:t>Lawyer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</w:rPr>
        <w:t>Southern</w:t>
      </w:r>
      <w:r>
        <w:rPr>
          <w:color w:val="6E6158"/>
          <w:spacing w:val="12"/>
        </w:rPr>
        <w:t> </w:t>
      </w:r>
      <w:r>
        <w:rPr>
          <w:color w:val="6E6158"/>
        </w:rPr>
        <w:t>California</w:t>
      </w:r>
      <w:r>
        <w:rPr>
          <w:color w:val="6E6158"/>
          <w:spacing w:val="13"/>
        </w:rPr>
        <w:t> </w:t>
      </w:r>
      <w:r>
        <w:rPr>
          <w:color w:val="6E6158"/>
        </w:rPr>
        <w:t>by</w:t>
      </w:r>
      <w:r>
        <w:rPr>
          <w:color w:val="6E6158"/>
          <w:spacing w:val="12"/>
        </w:rPr>
        <w:t> </w:t>
      </w:r>
      <w:r>
        <w:rPr>
          <w:color w:val="6E6158"/>
        </w:rPr>
        <w:t>LA</w:t>
      </w:r>
      <w:r>
        <w:rPr>
          <w:color w:val="6E6158"/>
          <w:spacing w:val="12"/>
        </w:rPr>
        <w:t> </w:t>
      </w:r>
      <w:r>
        <w:rPr>
          <w:color w:val="6E6158"/>
        </w:rPr>
        <w:t>Times,</w:t>
      </w:r>
      <w:r>
        <w:rPr>
          <w:color w:val="6E6158"/>
          <w:spacing w:val="13"/>
        </w:rPr>
        <w:t> </w:t>
      </w:r>
      <w:r>
        <w:rPr>
          <w:color w:val="6E6158"/>
        </w:rPr>
        <w:t>2014-</w:t>
      </w:r>
      <w:r>
        <w:rPr>
          <w:color w:val="6E6158"/>
          <w:spacing w:val="-4"/>
        </w:rPr>
        <w:t>2024</w:t>
      </w:r>
    </w:p>
    <w:p>
      <w:pPr>
        <w:pStyle w:val="BodyText"/>
        <w:spacing w:line="420" w:lineRule="auto" w:before="174"/>
        <w:ind w:right="1902"/>
      </w:pPr>
      <w:r>
        <w:rPr>
          <w:color w:val="6E6158"/>
        </w:rPr>
        <w:t>Top San Diego Attorney in Insurance Coverage by San Diego Daily </w:t>
      </w:r>
      <w:r>
        <w:rPr>
          <w:color w:val="6E6158"/>
        </w:rPr>
        <w:t>Transcript Top 1% of The American Registry, “Best of the Best”</w:t>
      </w:r>
    </w:p>
    <w:p>
      <w:pPr>
        <w:pStyle w:val="Heading1"/>
        <w:spacing w:before="282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302" w:lineRule="auto"/>
        <w:ind w:right="392"/>
      </w:pPr>
      <w:r>
        <w:rPr>
          <w:color w:val="6E6158"/>
        </w:rPr>
        <w:t>Presenter, “From the Beginning to the End, Essential Tools to Secure Settlement,” West Coast Casualty Conference, May 2025</w:t>
      </w:r>
    </w:p>
    <w:p>
      <w:pPr>
        <w:pStyle w:val="BodyText"/>
        <w:spacing w:before="2"/>
        <w:ind w:left="0"/>
      </w:pPr>
    </w:p>
    <w:p>
      <w:pPr>
        <w:pStyle w:val="BodyText"/>
        <w:spacing w:line="292" w:lineRule="auto"/>
        <w:ind w:right="392"/>
      </w:pPr>
      <w:r>
        <w:rPr>
          <w:color w:val="6E6158"/>
        </w:rPr>
        <w:t>Co-Chair &amp; Presenter, “Understanding Deductibles and Self-Insured Retentions,” The </w:t>
      </w:r>
      <w:r>
        <w:rPr>
          <w:color w:val="6E6158"/>
        </w:rPr>
        <w:t>Seminar Group’s Insurance in Construction Industry Seminar, January 2023</w:t>
      </w:r>
    </w:p>
    <w:p>
      <w:pPr>
        <w:pStyle w:val="BodyText"/>
        <w:spacing w:line="302" w:lineRule="auto" w:before="123"/>
      </w:pPr>
      <w:r>
        <w:rPr>
          <w:color w:val="6E6158"/>
        </w:rPr>
        <w:t>Presenter, “Wrap Policies Today:</w:t>
      </w:r>
      <w:r>
        <w:rPr>
          <w:color w:val="6E6158"/>
          <w:spacing w:val="40"/>
        </w:rPr>
        <w:t> </w:t>
      </w:r>
      <w:r>
        <w:rPr>
          <w:color w:val="6E6158"/>
        </w:rPr>
        <w:t>The Good, The Bad and the Ugly,” West Coast Casualty Conference, October 2021</w:t>
      </w:r>
    </w:p>
    <w:p>
      <w:pPr>
        <w:pStyle w:val="BodyText"/>
        <w:spacing w:before="113"/>
      </w:pPr>
      <w:r>
        <w:rPr>
          <w:color w:val="6E6158"/>
        </w:rPr>
        <w:t>Co-Chair</w:t>
      </w:r>
      <w:r>
        <w:rPr>
          <w:color w:val="6E6158"/>
          <w:spacing w:val="11"/>
        </w:rPr>
        <w:t> </w:t>
      </w:r>
      <w:r>
        <w:rPr>
          <w:color w:val="6E6158"/>
        </w:rPr>
        <w:t>&amp;</w:t>
      </w:r>
      <w:r>
        <w:rPr>
          <w:color w:val="6E6158"/>
          <w:spacing w:val="11"/>
        </w:rPr>
        <w:t> </w:t>
      </w:r>
      <w:r>
        <w:rPr>
          <w:color w:val="6E6158"/>
        </w:rPr>
        <w:t>Presenter,</w:t>
      </w:r>
      <w:r>
        <w:rPr>
          <w:color w:val="6E6158"/>
          <w:spacing w:val="11"/>
        </w:rPr>
        <w:t> </w:t>
      </w:r>
      <w:r>
        <w:rPr>
          <w:color w:val="6E6158"/>
        </w:rPr>
        <w:t>“WRAP</w:t>
      </w:r>
      <w:r>
        <w:rPr>
          <w:color w:val="6E6158"/>
          <w:spacing w:val="11"/>
        </w:rPr>
        <w:t> </w:t>
      </w:r>
      <w:r>
        <w:rPr>
          <w:color w:val="6E6158"/>
        </w:rPr>
        <w:t>Insurance</w:t>
      </w:r>
      <w:r>
        <w:rPr>
          <w:color w:val="6E6158"/>
          <w:spacing w:val="11"/>
        </w:rPr>
        <w:t> </w:t>
      </w:r>
      <w:r>
        <w:rPr>
          <w:color w:val="6E6158"/>
        </w:rPr>
        <w:t>Live</w:t>
      </w:r>
      <w:r>
        <w:rPr>
          <w:color w:val="6E6158"/>
          <w:spacing w:val="11"/>
        </w:rPr>
        <w:t> </w:t>
      </w:r>
      <w:r>
        <w:rPr>
          <w:color w:val="6E6158"/>
        </w:rPr>
        <w:t>Webcast,”</w:t>
      </w:r>
      <w:r>
        <w:rPr>
          <w:color w:val="6E6158"/>
          <w:spacing w:val="11"/>
        </w:rPr>
        <w:t> </w:t>
      </w:r>
      <w:r>
        <w:rPr>
          <w:color w:val="6E6158"/>
        </w:rPr>
        <w:t>The</w:t>
      </w:r>
      <w:r>
        <w:rPr>
          <w:color w:val="6E6158"/>
          <w:spacing w:val="11"/>
        </w:rPr>
        <w:t> </w:t>
      </w:r>
      <w:r>
        <w:rPr>
          <w:color w:val="6E6158"/>
        </w:rPr>
        <w:t>Seminar</w:t>
      </w:r>
      <w:r>
        <w:rPr>
          <w:color w:val="6E6158"/>
          <w:spacing w:val="11"/>
        </w:rPr>
        <w:t> </w:t>
      </w:r>
      <w:r>
        <w:rPr>
          <w:color w:val="6E6158"/>
        </w:rPr>
        <w:t>Group,</w:t>
      </w:r>
      <w:r>
        <w:rPr>
          <w:color w:val="6E6158"/>
          <w:spacing w:val="11"/>
        </w:rPr>
        <w:t> </w:t>
      </w:r>
      <w:r>
        <w:rPr>
          <w:color w:val="6E6158"/>
        </w:rPr>
        <w:t>January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2021</w:t>
      </w:r>
    </w:p>
    <w:p>
      <w:pPr>
        <w:pStyle w:val="BodyText"/>
        <w:spacing w:line="302" w:lineRule="auto" w:before="174"/>
      </w:pPr>
      <w:r>
        <w:rPr>
          <w:color w:val="6E6158"/>
        </w:rPr>
        <w:t>Author, “Does Business Interruption Insurance Cover COVID-19 Related Business Shutdowns </w:t>
      </w:r>
      <w:r>
        <w:rPr>
          <w:color w:val="6E6158"/>
        </w:rPr>
        <w:t>in California, Firm Newsletter, 2020</w:t>
      </w:r>
    </w:p>
    <w:p>
      <w:pPr>
        <w:pStyle w:val="BodyText"/>
        <w:spacing w:line="292" w:lineRule="auto" w:before="113"/>
      </w:pPr>
      <w:r>
        <w:rPr>
          <w:color w:val="6E6158"/>
        </w:rPr>
        <w:t>Presenter, “Construction Law: Wrapping Your Head Around Wrap Policies,” AGC San Diego, November 2017</w:t>
      </w:r>
    </w:p>
    <w:p>
      <w:pPr>
        <w:pStyle w:val="BodyText"/>
        <w:spacing w:line="302" w:lineRule="auto" w:before="123"/>
        <w:ind w:right="392"/>
      </w:pPr>
      <w:r>
        <w:rPr>
          <w:color w:val="6E6158"/>
        </w:rPr>
        <w:t>Presenter, “Insurance Archaeology – Raiders of the Lost Policies,” San Diego County Bar Association, May 2016</w:t>
      </w:r>
    </w:p>
    <w:p>
      <w:pPr>
        <w:pStyle w:val="BodyText"/>
        <w:spacing w:before="113"/>
        <w:ind w:left="154"/>
      </w:pPr>
      <w:r>
        <w:rPr>
          <w:color w:val="6E6158"/>
        </w:rPr>
        <w:t>Presenter,</w:t>
      </w:r>
      <w:r>
        <w:rPr>
          <w:color w:val="6E6158"/>
          <w:spacing w:val="15"/>
        </w:rPr>
        <w:t> </w:t>
      </w:r>
      <w:r>
        <w:rPr>
          <w:color w:val="6E6158"/>
        </w:rPr>
        <w:t>“California</w:t>
      </w:r>
      <w:r>
        <w:rPr>
          <w:color w:val="6E6158"/>
          <w:spacing w:val="15"/>
        </w:rPr>
        <w:t> </w:t>
      </w:r>
      <w:r>
        <w:rPr>
          <w:color w:val="6E6158"/>
        </w:rPr>
        <w:t>Law</w:t>
      </w:r>
      <w:r>
        <w:rPr>
          <w:color w:val="6E6158"/>
          <w:spacing w:val="15"/>
        </w:rPr>
        <w:t> </w:t>
      </w:r>
      <w:r>
        <w:rPr>
          <w:color w:val="6E6158"/>
        </w:rPr>
        <w:t>for</w:t>
      </w:r>
      <w:r>
        <w:rPr>
          <w:color w:val="6E6158"/>
          <w:spacing w:val="16"/>
        </w:rPr>
        <w:t> </w:t>
      </w:r>
      <w:r>
        <w:rPr>
          <w:color w:val="6E6158"/>
        </w:rPr>
        <w:t>Design</w:t>
      </w:r>
      <w:r>
        <w:rPr>
          <w:color w:val="6E6158"/>
          <w:spacing w:val="15"/>
        </w:rPr>
        <w:t> </w:t>
      </w:r>
      <w:r>
        <w:rPr>
          <w:color w:val="6E6158"/>
        </w:rPr>
        <w:t>Professionals,”</w:t>
      </w:r>
      <w:r>
        <w:rPr>
          <w:color w:val="6E6158"/>
          <w:spacing w:val="15"/>
        </w:rPr>
        <w:t> </w:t>
      </w:r>
      <w:r>
        <w:rPr>
          <w:color w:val="6E6158"/>
        </w:rPr>
        <w:t>Lorman</w:t>
      </w:r>
      <w:r>
        <w:rPr>
          <w:color w:val="6E6158"/>
          <w:spacing w:val="16"/>
        </w:rPr>
        <w:t> </w:t>
      </w:r>
      <w:r>
        <w:rPr>
          <w:color w:val="6E6158"/>
        </w:rPr>
        <w:t>Education</w:t>
      </w:r>
      <w:r>
        <w:rPr>
          <w:color w:val="6E6158"/>
          <w:spacing w:val="15"/>
        </w:rPr>
        <w:t> </w:t>
      </w:r>
      <w:r>
        <w:rPr>
          <w:color w:val="6E6158"/>
        </w:rPr>
        <w:t>Services,</w:t>
      </w:r>
      <w:r>
        <w:rPr>
          <w:color w:val="6E6158"/>
          <w:spacing w:val="15"/>
        </w:rPr>
        <w:t> </w:t>
      </w:r>
      <w:r>
        <w:rPr>
          <w:color w:val="6E6158"/>
        </w:rPr>
        <w:t>September</w:t>
      </w:r>
      <w:r>
        <w:rPr>
          <w:color w:val="6E6158"/>
          <w:spacing w:val="16"/>
        </w:rPr>
        <w:t> </w:t>
      </w:r>
      <w:r>
        <w:rPr>
          <w:color w:val="6E6158"/>
          <w:spacing w:val="-4"/>
        </w:rPr>
        <w:t>2002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7" w:lineRule="auto"/>
        <w:ind w:right="4425"/>
      </w:pPr>
      <w:r>
        <w:rPr>
          <w:color w:val="6E6158"/>
        </w:rPr>
        <w:t>Member, Construction Lawyers Society of </w:t>
      </w:r>
      <w:r>
        <w:rPr>
          <w:color w:val="6E6158"/>
        </w:rPr>
        <w:t>America Member, Trial Law Institute</w:t>
      </w:r>
    </w:p>
    <w:p>
      <w:pPr>
        <w:pStyle w:val="BodyText"/>
        <w:spacing w:line="226" w:lineRule="exact"/>
      </w:pPr>
      <w:r>
        <w:rPr>
          <w:color w:val="6E6158"/>
        </w:rPr>
        <w:t>Member,</w:t>
      </w:r>
      <w:r>
        <w:rPr>
          <w:color w:val="6E6158"/>
          <w:spacing w:val="7"/>
        </w:rPr>
        <w:t> </w:t>
      </w:r>
      <w:r>
        <w:rPr>
          <w:color w:val="6E6158"/>
        </w:rPr>
        <w:t>Diversity</w:t>
      </w:r>
      <w:r>
        <w:rPr>
          <w:color w:val="6E6158"/>
          <w:spacing w:val="7"/>
        </w:rPr>
        <w:t> </w:t>
      </w:r>
      <w:r>
        <w:rPr>
          <w:color w:val="6E6158"/>
        </w:rPr>
        <w:t>Law</w:t>
      </w:r>
      <w:r>
        <w:rPr>
          <w:color w:val="6E6158"/>
          <w:spacing w:val="7"/>
        </w:rPr>
        <w:t> </w:t>
      </w:r>
      <w:r>
        <w:rPr>
          <w:color w:val="6E6158"/>
          <w:spacing w:val="-2"/>
        </w:rPr>
        <w:t>Institute</w:t>
      </w:r>
    </w:p>
    <w:p>
      <w:pPr>
        <w:pStyle w:val="BodyText"/>
        <w:spacing w:line="422" w:lineRule="auto" w:before="174"/>
        <w:ind w:right="4425"/>
      </w:pPr>
      <w:r>
        <w:rPr>
          <w:color w:val="6E6158"/>
        </w:rPr>
        <w:t>Member, San Diego County Bar Association Member, Building Industry Association of San </w:t>
      </w:r>
      <w:r>
        <w:rPr>
          <w:color w:val="6E6158"/>
        </w:rPr>
        <w:t>Diego Former Member, American Bar Association</w:t>
      </w:r>
    </w:p>
    <w:p>
      <w:pPr>
        <w:pStyle w:val="BodyText"/>
        <w:spacing w:line="232" w:lineRule="exact"/>
      </w:pPr>
      <w:r>
        <w:rPr>
          <w:color w:val="6E6158"/>
        </w:rPr>
        <w:t>Former</w:t>
      </w:r>
      <w:r>
        <w:rPr>
          <w:color w:val="6E6158"/>
          <w:spacing w:val="13"/>
        </w:rPr>
        <w:t> </w:t>
      </w:r>
      <w:r>
        <w:rPr>
          <w:color w:val="6E6158"/>
        </w:rPr>
        <w:t>Member,</w:t>
      </w:r>
      <w:r>
        <w:rPr>
          <w:color w:val="6E6158"/>
          <w:spacing w:val="14"/>
        </w:rPr>
        <w:t> </w:t>
      </w:r>
      <w:r>
        <w:rPr>
          <w:color w:val="6E6158"/>
        </w:rPr>
        <w:t>Claims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4"/>
        </w:rPr>
        <w:t> </w:t>
      </w:r>
      <w:r>
        <w:rPr>
          <w:color w:val="6E6158"/>
        </w:rPr>
        <w:t>Litigation</w:t>
      </w:r>
      <w:r>
        <w:rPr>
          <w:color w:val="6E6158"/>
          <w:spacing w:val="13"/>
        </w:rPr>
        <w:t> </w:t>
      </w:r>
      <w:r>
        <w:rPr>
          <w:color w:val="6E6158"/>
        </w:rPr>
        <w:t>Management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Alliance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</w:pPr>
      <w:r>
        <w:rPr>
          <w:color w:val="6E6158"/>
          <w:spacing w:val="-2"/>
        </w:rPr>
        <w:t>California</w:t>
      </w:r>
    </w:p>
    <w:p>
      <w:pPr>
        <w:pStyle w:val="BodyText"/>
        <w:spacing w:line="427" w:lineRule="auto" w:before="174"/>
        <w:ind w:right="768"/>
      </w:pPr>
      <w:r>
        <w:rPr>
          <w:color w:val="6E6158"/>
        </w:rPr>
        <w:t>U.S. District Court for Central, Northern, Eastern and Southern Districts of </w:t>
      </w:r>
      <w:r>
        <w:rPr>
          <w:color w:val="6E6158"/>
        </w:rPr>
        <w:t>California</w:t>
      </w:r>
      <w:r>
        <w:rPr>
          <w:color w:val="6E6158"/>
        </w:rPr>
        <w:t> </w:t>
      </w:r>
      <w:r>
        <w:rPr>
          <w:color w:val="6E6158"/>
          <w:spacing w:val="-2"/>
        </w:rPr>
        <w:t>Washington</w:t>
      </w:r>
    </w:p>
    <w:p>
      <w:pPr>
        <w:pStyle w:val="BodyText"/>
        <w:spacing w:line="226" w:lineRule="exact"/>
      </w:pPr>
      <w:r>
        <w:rPr>
          <w:color w:val="6E6158"/>
        </w:rPr>
        <w:t>U.S.</w:t>
      </w:r>
      <w:r>
        <w:rPr>
          <w:color w:val="6E6158"/>
          <w:spacing w:val="9"/>
        </w:rPr>
        <w:t> </w:t>
      </w:r>
      <w:r>
        <w:rPr>
          <w:color w:val="6E6158"/>
        </w:rPr>
        <w:t>District</w:t>
      </w:r>
      <w:r>
        <w:rPr>
          <w:color w:val="6E6158"/>
          <w:spacing w:val="9"/>
        </w:rPr>
        <w:t> </w:t>
      </w:r>
      <w:r>
        <w:rPr>
          <w:color w:val="6E6158"/>
        </w:rPr>
        <w:t>Court</w:t>
      </w:r>
      <w:r>
        <w:rPr>
          <w:color w:val="6E6158"/>
          <w:spacing w:val="9"/>
        </w:rPr>
        <w:t> </w:t>
      </w:r>
      <w:r>
        <w:rPr>
          <w:color w:val="6E6158"/>
        </w:rPr>
        <w:t>for</w:t>
      </w:r>
      <w:r>
        <w:rPr>
          <w:color w:val="6E6158"/>
          <w:spacing w:val="9"/>
        </w:rPr>
        <w:t> </w:t>
      </w:r>
      <w:r>
        <w:rPr>
          <w:color w:val="6E6158"/>
        </w:rPr>
        <w:t>the</w:t>
      </w:r>
      <w:r>
        <w:rPr>
          <w:color w:val="6E6158"/>
          <w:spacing w:val="9"/>
        </w:rPr>
        <w:t> </w:t>
      </w:r>
      <w:r>
        <w:rPr>
          <w:color w:val="6E6158"/>
        </w:rPr>
        <w:t>Western</w:t>
      </w:r>
      <w:r>
        <w:rPr>
          <w:color w:val="6E6158"/>
          <w:spacing w:val="9"/>
        </w:rPr>
        <w:t> </w:t>
      </w:r>
      <w:r>
        <w:rPr>
          <w:color w:val="6E6158"/>
        </w:rPr>
        <w:t>District</w:t>
      </w:r>
      <w:r>
        <w:rPr>
          <w:color w:val="6E6158"/>
          <w:spacing w:val="9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Washington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mo">
    <w:altName w:val="Arimo"/>
    <w:charset w:val="0"/>
    <w:family w:val="swiss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litigation/" TargetMode="External"/><Relationship Id="rId9" Type="http://schemas.openxmlformats.org/officeDocument/2006/relationships/hyperlink" Target="https://www.fennemorelaw.com/contact-us/san-diego/" TargetMode="External"/><Relationship Id="rId10" Type="http://schemas.openxmlformats.org/officeDocument/2006/relationships/hyperlink" Target="mailto:tearl@fennemorelaw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Timothy C. Earl - Fennemore</dc:title>
  <dcterms:created xsi:type="dcterms:W3CDTF">2026-09-03T23:26:40Z</dcterms:created>
  <dcterms:modified xsi:type="dcterms:W3CDTF">2026-09-03T23:26:40Z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v10.0.20182.1</vt:lpwstr>
  </property>
  <property fmtid="{D5CDD505-2E9C-101B-9397-08002B2CF9AE}" pid="3" name="Created">
    <vt:filetime>2026-09-03T00:00:00Z</vt:filetime>
  </property>
  <property fmtid="{D5CDD505-2E9C-101B-9397-08002B2CF9AE}" pid="4" name="Creator">
    <vt:lpwstr>Mozilla/5.0 (X11; Linux x86_64) AppleWebKit/537.36 (KHTML, like Gecko) HeadlessChrome/151.0.0.0 Safari/537.36</vt:lpwstr>
  </property>
  <property fmtid="{D5CDD505-2E9C-101B-9397-08002B2CF9AE}" pid="5" name="LastSaved">
    <vt:filetime>2026-09-03T00:00:00Z</vt:filetime>
  </property>
  <property fmtid="{D5CDD505-2E9C-101B-9397-08002B2CF9AE}" pid="6" name="Producer">
    <vt:lpwstr>Skia/PDF m151</vt:lpwstr>
  </property>
</Properties>
</file>