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42"/>
        </w:rPr>
      </w:pPr>
    </w:p>
    <w:p>
      <w:pPr>
        <w:pStyle w:val="BodyText"/>
        <w:spacing w:before="210"/>
        <w:ind w:left="0"/>
        <w:rPr>
          <w:rFonts w:ascii="Times New Roman"/>
          <w:sz w:val="42"/>
        </w:rPr>
      </w:pPr>
    </w:p>
    <w:p>
      <w:pPr>
        <w:pStyle w:val="Heading1"/>
        <w:spacing w:line="220" w:lineRule="auto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87488">
                <wp:simplePos x="0" y="0"/>
                <wp:positionH relativeFrom="page">
                  <wp:posOffset>848486</wp:posOffset>
                </wp:positionH>
                <wp:positionV relativeFrom="paragraph">
                  <wp:posOffset>-749882</wp:posOffset>
                </wp:positionV>
                <wp:extent cx="6071870" cy="418592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185920"/>
                          <a:chExt cx="6071870" cy="418592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738675"/>
                            <a:ext cx="6071870" cy="1447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447165">
                                <a:moveTo>
                                  <a:pt x="6071591" y="1446847"/>
                                </a:moveTo>
                                <a:lnTo>
                                  <a:pt x="0" y="1446847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446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6071591" cy="2469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0" y="268700"/>
                            <a:ext cx="6071870" cy="2470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2470150">
                                <a:moveTo>
                                  <a:pt x="6071591" y="2469975"/>
                                </a:moveTo>
                                <a:lnTo>
                                  <a:pt x="0" y="2469975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24699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>
                              <a:alpha val="819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59.045898pt;width:478.1pt;height:329.6pt;mso-position-horizontal-relative:page;mso-position-vertical-relative:paragraph;z-index:-15828992" id="docshapegroup1" coordorigin="1336,-1181" coordsize="9562,6592">
                <v:rect style="position:absolute;left:1336;top:3131;width:9562;height:2279" id="docshape2" filled="true" fillcolor="#002e6d" stroked="false">
                  <v:fill type="solid"/>
                </v:rect>
                <v:shape style="position:absolute;left:1336;top:-1181;width:2165;height:424" type="#_x0000_t75" id="docshape3" alt="Fennemore" href="https://www.fennemorelaw.com/" stroked="false">
                  <v:imagedata r:id="rId5" o:title=""/>
                </v:shape>
                <v:shape style="position:absolute;left:1336;top:-758;width:9562;height:3890" type="#_x0000_t75" id="docshape4" stroked="false">
                  <v:imagedata r:id="rId7" o:title=""/>
                </v:shape>
                <v:rect style="position:absolute;left:1336;top:-758;width:9562;height:3890" id="docshape5" filled="true" fillcolor="#262424" stroked="false">
                  <v:fill opacity="53713f" type="solid"/>
                </v:rect>
                <w10:wrap type="none"/>
              </v:group>
            </w:pict>
          </mc:Fallback>
        </mc:AlternateContent>
      </w:r>
      <w:r>
        <w:rPr>
          <w:color w:val="FFFFFF"/>
        </w:rPr>
        <w:t>Helping Agribusiness Thrive </w:t>
      </w:r>
      <w:r>
        <w:rPr>
          <w:color w:val="FFFFFF"/>
        </w:rPr>
        <w:t>Locally, Nationally and Internationally</w:t>
      </w:r>
    </w:p>
    <w:p>
      <w:pPr>
        <w:pStyle w:val="BodyText"/>
        <w:spacing w:before="96"/>
        <w:ind w:left="0"/>
        <w:rPr>
          <w:b/>
          <w:sz w:val="42"/>
        </w:rPr>
      </w:pPr>
    </w:p>
    <w:p>
      <w:pPr>
        <w:spacing w:line="242" w:lineRule="auto" w:before="0"/>
        <w:ind w:left="689" w:right="693" w:firstLine="0"/>
        <w:jc w:val="center"/>
        <w:rPr>
          <w:sz w:val="22"/>
        </w:rPr>
      </w:pPr>
      <w:r>
        <w:rPr>
          <w:color w:val="FFFFFF"/>
          <w:w w:val="105"/>
          <w:sz w:val="22"/>
        </w:rPr>
        <w:t>Our experienced agricultural attorneys provide a broad range of assistance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to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clients,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both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domestically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and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internationally,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in</w:t>
      </w:r>
      <w:r>
        <w:rPr>
          <w:color w:val="FFFFFF"/>
          <w:spacing w:val="-16"/>
          <w:w w:val="105"/>
          <w:sz w:val="22"/>
        </w:rPr>
        <w:t> </w:t>
      </w:r>
      <w:r>
        <w:rPr>
          <w:color w:val="FFFFFF"/>
          <w:w w:val="105"/>
          <w:sz w:val="22"/>
        </w:rPr>
        <w:t>many areas of agribusiness and agricultural law.</w:t>
      </w: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ind w:left="0"/>
        <w:rPr>
          <w:sz w:val="22"/>
        </w:rPr>
      </w:pPr>
    </w:p>
    <w:p>
      <w:pPr>
        <w:pStyle w:val="BodyText"/>
        <w:spacing w:before="59"/>
        <w:ind w:left="0"/>
        <w:rPr>
          <w:sz w:val="22"/>
        </w:rPr>
      </w:pPr>
    </w:p>
    <w:p>
      <w:pPr>
        <w:spacing w:line="348" w:lineRule="auto" w:before="0"/>
        <w:ind w:left="1037" w:right="1036" w:firstLine="0"/>
        <w:jc w:val="center"/>
        <w:rPr>
          <w:sz w:val="16"/>
        </w:rPr>
      </w:pPr>
      <w:r>
        <w:rPr>
          <w:color w:val="FFFFFF"/>
          <w:spacing w:val="-4"/>
          <w:sz w:val="16"/>
        </w:rPr>
        <w:t>With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offices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Arizona,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California,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Idaho,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Washington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and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Texas,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we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serve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clients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operating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in</w:t>
      </w:r>
      <w:r>
        <w:rPr>
          <w:color w:val="FFFFFF"/>
          <w:spacing w:val="-8"/>
          <w:sz w:val="16"/>
        </w:rPr>
        <w:t> </w:t>
      </w:r>
      <w:r>
        <w:rPr>
          <w:color w:val="FFFFFF"/>
          <w:spacing w:val="-4"/>
          <w:sz w:val="16"/>
        </w:rPr>
        <w:t>the </w:t>
      </w:r>
      <w:r>
        <w:rPr>
          <w:color w:val="FFFFFF"/>
          <w:spacing w:val="-2"/>
          <w:sz w:val="16"/>
        </w:rPr>
        <w:t>largest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food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producing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region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in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the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United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States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and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one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of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the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largest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food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and</w:t>
      </w:r>
      <w:r>
        <w:rPr>
          <w:color w:val="FFFFFF"/>
          <w:spacing w:val="-6"/>
          <w:sz w:val="16"/>
        </w:rPr>
        <w:t> </w:t>
      </w:r>
      <w:r>
        <w:rPr>
          <w:color w:val="FFFFFF"/>
          <w:spacing w:val="-2"/>
          <w:sz w:val="16"/>
        </w:rPr>
        <w:t>timber </w:t>
      </w:r>
      <w:r>
        <w:rPr>
          <w:color w:val="FFFFFF"/>
          <w:spacing w:val="-4"/>
          <w:sz w:val="16"/>
        </w:rPr>
        <w:t>producing regions in the world, and primary ports of entry for importing and exporting fresh fruits </w:t>
      </w:r>
      <w:r>
        <w:rPr>
          <w:color w:val="FFFFFF"/>
          <w:sz w:val="16"/>
        </w:rPr>
        <w:t>and</w:t>
      </w:r>
      <w:r>
        <w:rPr>
          <w:color w:val="FFFFFF"/>
          <w:spacing w:val="-10"/>
          <w:sz w:val="16"/>
        </w:rPr>
        <w:t> </w:t>
      </w:r>
      <w:r>
        <w:rPr>
          <w:color w:val="FFFFFF"/>
          <w:sz w:val="16"/>
        </w:rPr>
        <w:t>vegetables</w:t>
      </w:r>
      <w:r>
        <w:rPr>
          <w:color w:val="FFFFFF"/>
          <w:spacing w:val="-10"/>
          <w:sz w:val="16"/>
        </w:rPr>
        <w:t> </w:t>
      </w:r>
      <w:r>
        <w:rPr>
          <w:color w:val="FFFFFF"/>
          <w:sz w:val="16"/>
        </w:rPr>
        <w:t>between</w:t>
      </w:r>
      <w:r>
        <w:rPr>
          <w:color w:val="FFFFFF"/>
          <w:spacing w:val="-10"/>
          <w:sz w:val="16"/>
        </w:rPr>
        <w:t> </w:t>
      </w:r>
      <w:r>
        <w:rPr>
          <w:color w:val="FFFFFF"/>
          <w:sz w:val="16"/>
        </w:rPr>
        <w:t>the</w:t>
      </w:r>
      <w:r>
        <w:rPr>
          <w:color w:val="FFFFFF"/>
          <w:spacing w:val="-10"/>
          <w:sz w:val="16"/>
        </w:rPr>
        <w:t> </w:t>
      </w:r>
      <w:r>
        <w:rPr>
          <w:color w:val="FFFFFF"/>
          <w:sz w:val="16"/>
        </w:rPr>
        <w:t>United</w:t>
      </w:r>
      <w:r>
        <w:rPr>
          <w:color w:val="FFFFFF"/>
          <w:spacing w:val="-10"/>
          <w:sz w:val="16"/>
        </w:rPr>
        <w:t> </w:t>
      </w:r>
      <w:r>
        <w:rPr>
          <w:color w:val="FFFFFF"/>
          <w:sz w:val="16"/>
        </w:rPr>
        <w:t>States</w:t>
      </w:r>
      <w:r>
        <w:rPr>
          <w:color w:val="FFFFFF"/>
          <w:spacing w:val="-10"/>
          <w:sz w:val="16"/>
        </w:rPr>
        <w:t> </w:t>
      </w:r>
      <w:r>
        <w:rPr>
          <w:color w:val="FFFFFF"/>
          <w:sz w:val="16"/>
        </w:rPr>
        <w:t>and</w:t>
      </w:r>
      <w:r>
        <w:rPr>
          <w:color w:val="FFFFFF"/>
          <w:spacing w:val="-10"/>
          <w:sz w:val="16"/>
        </w:rPr>
        <w:t> </w:t>
      </w:r>
      <w:r>
        <w:rPr>
          <w:color w:val="FFFFFF"/>
          <w:sz w:val="16"/>
        </w:rPr>
        <w:t>Mexico.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119"/>
        <w:ind w:left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3"/>
      </w:pPr>
      <w:r>
        <w:rPr>
          <w:color w:val="002E6B"/>
          <w:spacing w:val="-2"/>
        </w:rPr>
        <w:t>LEADERSHIP</w:t>
      </w:r>
    </w:p>
    <w:p>
      <w:pPr>
        <w:pStyle w:val="BodyText"/>
        <w:spacing w:before="38"/>
        <w:ind w:left="0"/>
        <w:rPr>
          <w:b/>
          <w:sz w:val="20"/>
        </w:rPr>
      </w:pPr>
    </w:p>
    <w:p>
      <w:pPr>
        <w:spacing w:before="1"/>
        <w:ind w:left="3167" w:right="0" w:firstLine="0"/>
        <w:jc w:val="left"/>
        <w:rPr>
          <w:sz w:val="16"/>
        </w:rPr>
      </w:pPr>
      <w:r>
        <w:rPr>
          <w:sz w:val="16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1313545</wp:posOffset>
            </wp:positionH>
            <wp:positionV relativeFrom="paragraph">
              <wp:posOffset>-21300</wp:posOffset>
            </wp:positionV>
            <wp:extent cx="1395174" cy="1395174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174" cy="1395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4274415</wp:posOffset>
            </wp:positionH>
            <wp:positionV relativeFrom="paragraph">
              <wp:posOffset>35540</wp:posOffset>
            </wp:positionV>
            <wp:extent cx="1395174" cy="1395174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5174" cy="1395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0">
        <w:r>
          <w:rPr>
            <w:spacing w:val="-2"/>
            <w:sz w:val="16"/>
          </w:rPr>
          <w:t>AGRIBUSINESS</w:t>
        </w:r>
      </w:hyperlink>
    </w:p>
    <w:p>
      <w:pPr>
        <w:pStyle w:val="BodyText"/>
        <w:spacing w:before="45"/>
        <w:ind w:left="0"/>
        <w:rPr>
          <w:sz w:val="16"/>
        </w:rPr>
      </w:pPr>
    </w:p>
    <w:p>
      <w:pPr>
        <w:spacing w:line="218" w:lineRule="auto" w:before="0"/>
        <w:ind w:left="3167" w:right="2951" w:firstLine="0"/>
        <w:jc w:val="left"/>
        <w:rPr>
          <w:sz w:val="16"/>
        </w:rPr>
      </w:pPr>
      <w:hyperlink r:id="rId11">
        <w:r>
          <w:rPr>
            <w:sz w:val="16"/>
          </w:rPr>
          <w:t>BUSINESS</w:t>
        </w:r>
        <w:r>
          <w:rPr>
            <w:spacing w:val="-12"/>
            <w:sz w:val="16"/>
          </w:rPr>
          <w:t> </w:t>
        </w:r>
        <w:r>
          <w:rPr>
            <w:sz w:val="16"/>
          </w:rPr>
          <w:t>&amp;</w:t>
        </w:r>
      </w:hyperlink>
      <w:r>
        <w:rPr>
          <w:sz w:val="16"/>
        </w:rPr>
        <w:t> </w:t>
      </w:r>
      <w:hyperlink r:id="rId11">
        <w:r>
          <w:rPr>
            <w:spacing w:val="-2"/>
            <w:sz w:val="16"/>
          </w:rPr>
          <w:t>FINANCE</w:t>
        </w:r>
      </w:hyperlink>
    </w:p>
    <w:p>
      <w:pPr>
        <w:pStyle w:val="BodyText"/>
        <w:spacing w:before="53"/>
        <w:ind w:left="0"/>
        <w:rPr>
          <w:sz w:val="16"/>
        </w:rPr>
      </w:pPr>
    </w:p>
    <w:p>
      <w:pPr>
        <w:spacing w:line="199" w:lineRule="auto" w:before="1"/>
        <w:ind w:left="3167" w:right="3000" w:firstLine="0"/>
        <w:jc w:val="left"/>
        <w:rPr>
          <w:b/>
          <w:sz w:val="16"/>
        </w:rPr>
      </w:pPr>
      <w:hyperlink r:id="rId12">
        <w:r>
          <w:rPr>
            <w:b/>
            <w:sz w:val="16"/>
          </w:rPr>
          <w:t>Kimberly</w:t>
        </w:r>
        <w:r>
          <w:rPr>
            <w:b/>
            <w:spacing w:val="-12"/>
            <w:sz w:val="16"/>
          </w:rPr>
          <w:t> </w:t>
        </w:r>
        <w:r>
          <w:rPr>
            <w:b/>
            <w:sz w:val="16"/>
          </w:rPr>
          <w:t>A.</w:t>
        </w:r>
      </w:hyperlink>
      <w:r>
        <w:rPr>
          <w:b/>
          <w:sz w:val="16"/>
        </w:rPr>
        <w:t> </w:t>
      </w:r>
      <w:hyperlink r:id="rId12">
        <w:r>
          <w:rPr>
            <w:b/>
            <w:spacing w:val="-2"/>
            <w:sz w:val="16"/>
          </w:rPr>
          <w:t>Arana</w:t>
        </w:r>
      </w:hyperlink>
    </w:p>
    <w:p>
      <w:pPr>
        <w:spacing w:line="199" w:lineRule="auto" w:before="16"/>
        <w:ind w:left="3167" w:right="2951" w:firstLine="0"/>
        <w:jc w:val="left"/>
        <w:rPr>
          <w:sz w:val="12"/>
        </w:rPr>
      </w:pPr>
      <w:r>
        <w:rPr>
          <w:color w:val="6E6158"/>
          <w:sz w:val="12"/>
        </w:rPr>
        <w:t>Agribusiness</w:t>
      </w:r>
      <w:r>
        <w:rPr>
          <w:color w:val="6E6158"/>
          <w:spacing w:val="-9"/>
          <w:sz w:val="12"/>
        </w:rPr>
        <w:t> </w:t>
      </w:r>
      <w:r>
        <w:rPr>
          <w:color w:val="6E6158"/>
          <w:sz w:val="12"/>
        </w:rPr>
        <w:t>Group</w:t>
      </w:r>
      <w:r>
        <w:rPr>
          <w:color w:val="6E6158"/>
          <w:spacing w:val="40"/>
          <w:sz w:val="12"/>
        </w:rPr>
        <w:t> </w:t>
      </w:r>
      <w:r>
        <w:rPr>
          <w:color w:val="6E6158"/>
          <w:spacing w:val="-4"/>
          <w:sz w:val="12"/>
        </w:rPr>
        <w:t>Chair</w:t>
      </w:r>
    </w:p>
    <w:p>
      <w:pPr>
        <w:spacing w:before="78"/>
        <w:ind w:left="3167" w:right="0" w:firstLine="0"/>
        <w:jc w:val="left"/>
        <w:rPr>
          <w:b/>
          <w:sz w:val="12"/>
        </w:rPr>
      </w:pPr>
      <w:hyperlink r:id="rId13">
        <w:r>
          <w:rPr>
            <w:b/>
            <w:spacing w:val="-2"/>
            <w:sz w:val="12"/>
          </w:rPr>
          <w:t>Nogales</w:t>
        </w:r>
      </w:hyperlink>
    </w:p>
    <w:p>
      <w:pPr>
        <w:spacing w:before="15"/>
        <w:ind w:left="3167" w:right="0" w:firstLine="0"/>
        <w:jc w:val="left"/>
        <w:rPr>
          <w:sz w:val="12"/>
        </w:rPr>
      </w:pPr>
      <w:r>
        <w:rPr>
          <w:color w:val="6E6158"/>
          <w:sz w:val="12"/>
        </w:rPr>
        <w:t>PH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520.281.3481</w:t>
      </w:r>
    </w:p>
    <w:p>
      <w:pPr>
        <w:spacing w:before="8"/>
        <w:ind w:left="3167" w:right="0" w:firstLine="0"/>
        <w:jc w:val="left"/>
        <w:rPr>
          <w:sz w:val="12"/>
        </w:rPr>
      </w:pPr>
      <w:r>
        <w:rPr>
          <w:color w:val="6E6158"/>
          <w:sz w:val="12"/>
        </w:rPr>
        <w:t>FX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520.281.3495</w:t>
      </w:r>
    </w:p>
    <w:p>
      <w:pPr>
        <w:spacing w:line="266" w:lineRule="auto" w:before="15"/>
        <w:ind w:left="3167" w:right="3000" w:firstLine="0"/>
        <w:jc w:val="left"/>
        <w:rPr>
          <w:sz w:val="12"/>
        </w:rPr>
      </w:pPr>
      <w:hyperlink r:id="rId14">
        <w:r>
          <w:rPr>
            <w:color w:val="002E6B"/>
            <w:spacing w:val="-2"/>
            <w:sz w:val="12"/>
            <w:u w:val="single" w:color="002E6B"/>
          </w:rPr>
          <w:t>karana@fennemorela</w:t>
        </w:r>
      </w:hyperlink>
      <w:r>
        <w:rPr>
          <w:color w:val="002E6B"/>
          <w:spacing w:val="40"/>
          <w:sz w:val="12"/>
          <w:u w:val="none"/>
        </w:rPr>
        <w:t> </w:t>
      </w:r>
      <w:hyperlink r:id="rId14">
        <w:r>
          <w:rPr>
            <w:color w:val="002E6B"/>
            <w:spacing w:val="-2"/>
            <w:sz w:val="12"/>
            <w:u w:val="single" w:color="002E6B"/>
          </w:rPr>
          <w:t>w.com</w:t>
        </w:r>
      </w:hyperlink>
    </w:p>
    <w:p>
      <w:pPr>
        <w:pStyle w:val="BodyText"/>
        <w:ind w:left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ind w:left="0"/>
        <w:rPr>
          <w:sz w:val="16"/>
        </w:rPr>
      </w:pPr>
    </w:p>
    <w:p>
      <w:pPr>
        <w:pStyle w:val="BodyText"/>
        <w:spacing w:before="130"/>
        <w:ind w:left="0"/>
        <w:rPr>
          <w:sz w:val="16"/>
        </w:rPr>
      </w:pPr>
    </w:p>
    <w:p>
      <w:pPr>
        <w:spacing w:before="0"/>
        <w:ind w:left="297" w:right="0" w:firstLine="0"/>
        <w:jc w:val="left"/>
        <w:rPr>
          <w:sz w:val="16"/>
        </w:rPr>
      </w:pPr>
      <w:hyperlink r:id="rId10">
        <w:r>
          <w:rPr>
            <w:spacing w:val="-2"/>
            <w:sz w:val="16"/>
          </w:rPr>
          <w:t>AGRIBUSINESS</w:t>
        </w:r>
      </w:hyperlink>
    </w:p>
    <w:p>
      <w:pPr>
        <w:pStyle w:val="BodyText"/>
        <w:spacing w:before="31"/>
        <w:ind w:left="0"/>
        <w:rPr>
          <w:sz w:val="16"/>
        </w:rPr>
      </w:pPr>
    </w:p>
    <w:p>
      <w:pPr>
        <w:spacing w:before="0"/>
        <w:ind w:left="297" w:right="0" w:firstLine="0"/>
        <w:jc w:val="left"/>
        <w:rPr>
          <w:sz w:val="16"/>
        </w:rPr>
      </w:pPr>
      <w:hyperlink r:id="rId15">
        <w:r>
          <w:rPr>
            <w:sz w:val="16"/>
          </w:rPr>
          <w:t>TRUSTS</w:t>
        </w:r>
        <w:r>
          <w:rPr>
            <w:spacing w:val="3"/>
            <w:sz w:val="16"/>
          </w:rPr>
          <w:t> </w:t>
        </w:r>
        <w:r>
          <w:rPr>
            <w:sz w:val="16"/>
          </w:rPr>
          <w:t>&amp;</w:t>
        </w:r>
        <w:r>
          <w:rPr>
            <w:spacing w:val="3"/>
            <w:sz w:val="16"/>
          </w:rPr>
          <w:t> </w:t>
        </w:r>
        <w:r>
          <w:rPr>
            <w:spacing w:val="-2"/>
            <w:sz w:val="16"/>
          </w:rPr>
          <w:t>ESTATES</w:t>
        </w:r>
      </w:hyperlink>
    </w:p>
    <w:p>
      <w:pPr>
        <w:pStyle w:val="BodyText"/>
        <w:spacing w:before="50"/>
        <w:ind w:left="0"/>
        <w:rPr>
          <w:sz w:val="16"/>
        </w:rPr>
      </w:pPr>
    </w:p>
    <w:p>
      <w:pPr>
        <w:spacing w:line="199" w:lineRule="auto" w:before="0"/>
        <w:ind w:left="297" w:right="276" w:firstLine="0"/>
        <w:jc w:val="left"/>
        <w:rPr>
          <w:b/>
          <w:sz w:val="16"/>
        </w:rPr>
      </w:pPr>
      <w:hyperlink r:id="rId16">
        <w:r>
          <w:rPr>
            <w:b/>
            <w:sz w:val="16"/>
          </w:rPr>
          <w:t>Richard</w:t>
        </w:r>
        <w:r>
          <w:rPr>
            <w:b/>
            <w:spacing w:val="-12"/>
            <w:sz w:val="16"/>
          </w:rPr>
          <w:t> </w:t>
        </w:r>
        <w:r>
          <w:rPr>
            <w:b/>
            <w:sz w:val="16"/>
          </w:rPr>
          <w:t>M.</w:t>
        </w:r>
      </w:hyperlink>
      <w:r>
        <w:rPr>
          <w:b/>
          <w:sz w:val="16"/>
        </w:rPr>
        <w:t> </w:t>
      </w:r>
      <w:hyperlink r:id="rId16">
        <w:r>
          <w:rPr>
            <w:b/>
            <w:spacing w:val="-2"/>
            <w:sz w:val="16"/>
          </w:rPr>
          <w:t>Aaron</w:t>
        </w:r>
      </w:hyperlink>
    </w:p>
    <w:p>
      <w:pPr>
        <w:spacing w:line="199" w:lineRule="auto" w:before="17"/>
        <w:ind w:left="297" w:right="192" w:firstLine="0"/>
        <w:jc w:val="left"/>
        <w:rPr>
          <w:sz w:val="12"/>
        </w:rPr>
      </w:pPr>
      <w:r>
        <w:rPr>
          <w:color w:val="6E6158"/>
          <w:sz w:val="12"/>
        </w:rPr>
        <w:t>Agribusiness</w:t>
      </w:r>
      <w:r>
        <w:rPr>
          <w:color w:val="6E6158"/>
          <w:spacing w:val="-9"/>
          <w:sz w:val="12"/>
        </w:rPr>
        <w:t> </w:t>
      </w:r>
      <w:r>
        <w:rPr>
          <w:color w:val="6E6158"/>
          <w:sz w:val="12"/>
        </w:rPr>
        <w:t>Group</w:t>
      </w:r>
      <w:r>
        <w:rPr>
          <w:color w:val="6E6158"/>
          <w:spacing w:val="40"/>
          <w:sz w:val="12"/>
        </w:rPr>
        <w:t> </w:t>
      </w:r>
      <w:r>
        <w:rPr>
          <w:color w:val="6E6158"/>
          <w:sz w:val="12"/>
        </w:rPr>
        <w:t>Vice</w:t>
      </w:r>
      <w:r>
        <w:rPr>
          <w:color w:val="6E6158"/>
          <w:spacing w:val="-7"/>
          <w:sz w:val="12"/>
        </w:rPr>
        <w:t> </w:t>
      </w:r>
      <w:r>
        <w:rPr>
          <w:color w:val="6E6158"/>
          <w:sz w:val="12"/>
        </w:rPr>
        <w:t>Chair</w:t>
      </w:r>
    </w:p>
    <w:p>
      <w:pPr>
        <w:spacing w:before="77"/>
        <w:ind w:left="297" w:right="0" w:firstLine="0"/>
        <w:jc w:val="left"/>
        <w:rPr>
          <w:b/>
          <w:sz w:val="12"/>
        </w:rPr>
      </w:pPr>
      <w:hyperlink r:id="rId17">
        <w:r>
          <w:rPr>
            <w:b/>
            <w:spacing w:val="-2"/>
            <w:sz w:val="12"/>
          </w:rPr>
          <w:t>Fresno</w:t>
        </w:r>
      </w:hyperlink>
    </w:p>
    <w:p>
      <w:pPr>
        <w:spacing w:before="15"/>
        <w:ind w:left="297" w:right="0" w:firstLine="0"/>
        <w:jc w:val="left"/>
        <w:rPr>
          <w:sz w:val="12"/>
        </w:rPr>
      </w:pPr>
      <w:r>
        <w:rPr>
          <w:color w:val="6E6158"/>
          <w:sz w:val="12"/>
        </w:rPr>
        <w:t>PH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559.432.4500</w:t>
      </w:r>
    </w:p>
    <w:p>
      <w:pPr>
        <w:spacing w:before="8"/>
        <w:ind w:left="297" w:right="0" w:firstLine="0"/>
        <w:jc w:val="left"/>
        <w:rPr>
          <w:sz w:val="12"/>
        </w:rPr>
      </w:pPr>
      <w:r>
        <w:rPr>
          <w:color w:val="6E6158"/>
          <w:sz w:val="12"/>
        </w:rPr>
        <w:t>FX</w:t>
      </w:r>
      <w:r>
        <w:rPr>
          <w:color w:val="6E6158"/>
          <w:spacing w:val="1"/>
          <w:sz w:val="12"/>
        </w:rPr>
        <w:t> </w:t>
      </w:r>
      <w:r>
        <w:rPr>
          <w:spacing w:val="-2"/>
          <w:sz w:val="12"/>
        </w:rPr>
        <w:t>559.432.4590</w:t>
      </w:r>
    </w:p>
    <w:p>
      <w:pPr>
        <w:spacing w:line="266" w:lineRule="auto" w:before="16"/>
        <w:ind w:left="297" w:right="192" w:firstLine="0"/>
        <w:jc w:val="left"/>
        <w:rPr>
          <w:sz w:val="12"/>
        </w:rPr>
      </w:pPr>
      <w:hyperlink r:id="rId18">
        <w:r>
          <w:rPr>
            <w:color w:val="002E6B"/>
            <w:spacing w:val="-2"/>
            <w:sz w:val="12"/>
            <w:u w:val="single" w:color="002E6B"/>
          </w:rPr>
          <w:t>raaron@fennemorela</w:t>
        </w:r>
      </w:hyperlink>
      <w:r>
        <w:rPr>
          <w:color w:val="002E6B"/>
          <w:spacing w:val="40"/>
          <w:sz w:val="12"/>
          <w:u w:val="none"/>
        </w:rPr>
        <w:t> </w:t>
      </w:r>
      <w:hyperlink r:id="rId18">
        <w:r>
          <w:rPr>
            <w:color w:val="002E6B"/>
            <w:spacing w:val="-2"/>
            <w:sz w:val="12"/>
            <w:u w:val="single" w:color="002E6B"/>
          </w:rPr>
          <w:t>w.com</w:t>
        </w:r>
      </w:hyperlink>
    </w:p>
    <w:p>
      <w:pPr>
        <w:spacing w:after="0" w:line="266" w:lineRule="auto"/>
        <w:jc w:val="left"/>
        <w:rPr>
          <w:sz w:val="12"/>
        </w:rPr>
        <w:sectPr>
          <w:type w:val="continuous"/>
          <w:pgSz w:w="12240" w:h="15840"/>
          <w:pgMar w:top="560" w:bottom="280" w:left="1440" w:right="1440"/>
          <w:cols w:num="2" w:equalWidth="0">
            <w:col w:w="7489" w:space="40"/>
            <w:col w:w="1831"/>
          </w:cols>
        </w:sectPr>
      </w:pPr>
    </w:p>
    <w:p>
      <w:pPr>
        <w:pStyle w:val="BodyText"/>
        <w:spacing w:before="259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WHAT</w:t>
      </w:r>
      <w:r>
        <w:rPr>
          <w:color w:val="FF8100"/>
          <w:spacing w:val="6"/>
        </w:rPr>
        <w:t> </w:t>
      </w:r>
      <w:r>
        <w:rPr>
          <w:color w:val="FF8100"/>
        </w:rPr>
        <w:t>WE</w:t>
      </w:r>
      <w:r>
        <w:rPr>
          <w:color w:val="FF8100"/>
          <w:spacing w:val="5"/>
        </w:rPr>
        <w:t> </w:t>
      </w:r>
      <w:r>
        <w:rPr>
          <w:color w:val="FF8100"/>
          <w:spacing w:val="-5"/>
        </w:rPr>
        <w:t>DO</w:t>
      </w:r>
    </w:p>
    <w:p>
      <w:pPr>
        <w:pStyle w:val="BodyText"/>
        <w:spacing w:line="297" w:lineRule="auto" w:before="146"/>
      </w:pPr>
      <w:r>
        <w:rPr>
          <w:color w:val="6E6158"/>
        </w:rPr>
        <w:t>Our Agribusiness team is one of the most robust legal groups in the West! Our attorneys have a</w:t>
      </w:r>
      <w:r>
        <w:rPr>
          <w:color w:val="6E6158"/>
          <w:spacing w:val="40"/>
        </w:rPr>
        <w:t> </w:t>
      </w:r>
      <w:r>
        <w:rPr>
          <w:color w:val="6E6158"/>
        </w:rPr>
        <w:t>tremendous track record of assisting clients in every role within the produce industry by providing</w:t>
      </w:r>
      <w:r>
        <w:rPr>
          <w:color w:val="6E6158"/>
          <w:spacing w:val="40"/>
        </w:rPr>
        <w:t> </w:t>
      </w:r>
      <w:r>
        <w:rPr>
          <w:color w:val="6E6158"/>
        </w:rPr>
        <w:t>practical</w:t>
      </w:r>
      <w:r>
        <w:rPr>
          <w:color w:val="6E6158"/>
          <w:spacing w:val="33"/>
        </w:rPr>
        <w:t> </w:t>
      </w:r>
      <w:r>
        <w:rPr>
          <w:color w:val="6E6158"/>
        </w:rPr>
        <w:t>experience,</w:t>
      </w:r>
      <w:r>
        <w:rPr>
          <w:color w:val="6E6158"/>
          <w:spacing w:val="33"/>
        </w:rPr>
        <w:t> </w:t>
      </w:r>
      <w:r>
        <w:rPr>
          <w:color w:val="6E6158"/>
        </w:rPr>
        <w:t>knowledge,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legal</w:t>
      </w:r>
      <w:r>
        <w:rPr>
          <w:color w:val="6E6158"/>
          <w:spacing w:val="33"/>
        </w:rPr>
        <w:t> </w:t>
      </w:r>
      <w:r>
        <w:rPr>
          <w:color w:val="6E6158"/>
        </w:rPr>
        <w:t>expertise</w:t>
      </w:r>
      <w:r>
        <w:rPr>
          <w:color w:val="6E6158"/>
          <w:spacing w:val="33"/>
        </w:rPr>
        <w:t> </w:t>
      </w:r>
      <w:r>
        <w:rPr>
          <w:color w:val="6E6158"/>
        </w:rPr>
        <w:t>that</w:t>
      </w:r>
      <w:r>
        <w:rPr>
          <w:color w:val="6E6158"/>
          <w:spacing w:val="33"/>
        </w:rPr>
        <w:t> </w:t>
      </w:r>
      <w:r>
        <w:rPr>
          <w:color w:val="6E6158"/>
        </w:rPr>
        <w:t>is</w:t>
      </w:r>
      <w:r>
        <w:rPr>
          <w:color w:val="6E6158"/>
          <w:spacing w:val="33"/>
        </w:rPr>
        <w:t> </w:t>
      </w:r>
      <w:r>
        <w:rPr>
          <w:color w:val="6E6158"/>
        </w:rPr>
        <w:t>unique</w:t>
      </w:r>
      <w:r>
        <w:rPr>
          <w:color w:val="6E6158"/>
          <w:spacing w:val="33"/>
        </w:rPr>
        <w:t> </w:t>
      </w:r>
      <w:r>
        <w:rPr>
          <w:color w:val="6E6158"/>
        </w:rPr>
        <w:t>to</w:t>
      </w:r>
      <w:r>
        <w:rPr>
          <w:color w:val="6E6158"/>
          <w:spacing w:val="33"/>
        </w:rPr>
        <w:t> </w:t>
      </w:r>
      <w:r>
        <w:rPr>
          <w:color w:val="6E6158"/>
        </w:rPr>
        <w:t>agribusiness.</w:t>
      </w:r>
      <w:r>
        <w:rPr>
          <w:color w:val="6E6158"/>
          <w:spacing w:val="33"/>
        </w:rPr>
        <w:t> </w:t>
      </w:r>
      <w:r>
        <w:rPr>
          <w:color w:val="6E6158"/>
        </w:rPr>
        <w:t>We</w:t>
      </w:r>
    </w:p>
    <w:p>
      <w:pPr>
        <w:pStyle w:val="BodyText"/>
        <w:spacing w:line="295" w:lineRule="auto"/>
      </w:pPr>
      <w:r>
        <w:rPr>
          <w:color w:val="6E6158"/>
        </w:rPr>
        <w:t>represent farmers, growers, packers, shippers, distributors, importers, exporters, processors, </w:t>
      </w:r>
      <w:r>
        <w:rPr>
          <w:color w:val="6E6158"/>
        </w:rPr>
        <w:t>dairies,</w:t>
      </w:r>
      <w:r>
        <w:rPr>
          <w:color w:val="6E6158"/>
          <w:spacing w:val="40"/>
        </w:rPr>
        <w:t> </w:t>
      </w:r>
      <w:r>
        <w:rPr>
          <w:color w:val="6E6158"/>
        </w:rPr>
        <w:t>wineries,</w:t>
      </w:r>
      <w:r>
        <w:rPr>
          <w:color w:val="6E6158"/>
          <w:spacing w:val="40"/>
        </w:rPr>
        <w:t> </w:t>
      </w:r>
      <w:r>
        <w:rPr>
          <w:color w:val="6E6158"/>
        </w:rPr>
        <w:t>cooperatives,</w:t>
      </w:r>
      <w:r>
        <w:rPr>
          <w:color w:val="6E6158"/>
          <w:spacing w:val="40"/>
        </w:rPr>
        <w:t> </w:t>
      </w:r>
      <w:r>
        <w:rPr>
          <w:color w:val="6E6158"/>
        </w:rPr>
        <w:t>timberland</w:t>
      </w:r>
      <w:r>
        <w:rPr>
          <w:color w:val="6E6158"/>
          <w:spacing w:val="40"/>
        </w:rPr>
        <w:t> </w:t>
      </w:r>
      <w:r>
        <w:rPr>
          <w:color w:val="6E6158"/>
        </w:rPr>
        <w:t>owners,</w:t>
      </w:r>
      <w:r>
        <w:rPr>
          <w:color w:val="6E6158"/>
          <w:spacing w:val="40"/>
        </w:rPr>
        <w:t> </w:t>
      </w:r>
      <w:r>
        <w:rPr>
          <w:color w:val="6E6158"/>
        </w:rPr>
        <w:t>forest</w:t>
      </w:r>
      <w:r>
        <w:rPr>
          <w:color w:val="6E6158"/>
          <w:spacing w:val="40"/>
        </w:rPr>
        <w:t> </w:t>
      </w:r>
      <w:r>
        <w:rPr>
          <w:color w:val="6E6158"/>
        </w:rPr>
        <w:t>products</w:t>
      </w:r>
      <w:r>
        <w:rPr>
          <w:color w:val="6E6158"/>
          <w:spacing w:val="40"/>
        </w:rPr>
        <w:t> </w:t>
      </w:r>
      <w:r>
        <w:rPr>
          <w:color w:val="6E6158"/>
        </w:rPr>
        <w:t>companies,</w:t>
      </w:r>
      <w:r>
        <w:rPr>
          <w:color w:val="6E6158"/>
          <w:spacing w:val="40"/>
        </w:rPr>
        <w:t> </w:t>
      </w:r>
      <w:r>
        <w:rPr>
          <w:color w:val="6E6158"/>
        </w:rPr>
        <w:t>investors,</w:t>
      </w:r>
      <w:r>
        <w:rPr>
          <w:color w:val="6E6158"/>
          <w:spacing w:val="40"/>
        </w:rPr>
        <w:t> </w:t>
      </w:r>
      <w:r>
        <w:rPr>
          <w:color w:val="6E6158"/>
        </w:rPr>
        <w:t>lenders, insurance providers and others involved in the food production industry with local, national, and</w:t>
      </w:r>
      <w:r>
        <w:rPr>
          <w:color w:val="6E6158"/>
          <w:spacing w:val="40"/>
        </w:rPr>
        <w:t> </w:t>
      </w:r>
      <w:r>
        <w:rPr>
          <w:color w:val="6E6158"/>
        </w:rPr>
        <w:t>international operations.</w:t>
      </w:r>
    </w:p>
    <w:p>
      <w:pPr>
        <w:pStyle w:val="BodyText"/>
        <w:spacing w:line="295" w:lineRule="auto" w:before="193"/>
        <w:ind w:right="187"/>
      </w:pPr>
      <w:r>
        <w:rPr>
          <w:color w:val="6E6158"/>
        </w:rPr>
        <w:t>We</w:t>
      </w:r>
      <w:r>
        <w:rPr>
          <w:color w:val="6E6158"/>
          <w:spacing w:val="28"/>
        </w:rPr>
        <w:t> </w:t>
      </w:r>
      <w:r>
        <w:rPr>
          <w:color w:val="6E6158"/>
        </w:rPr>
        <w:t>have</w:t>
      </w:r>
      <w:r>
        <w:rPr>
          <w:color w:val="6E6158"/>
          <w:spacing w:val="28"/>
        </w:rPr>
        <w:t> </w:t>
      </w:r>
      <w:r>
        <w:rPr>
          <w:color w:val="6E6158"/>
        </w:rPr>
        <w:t>offices</w:t>
      </w:r>
      <w:r>
        <w:rPr>
          <w:color w:val="6E6158"/>
          <w:spacing w:val="28"/>
        </w:rPr>
        <w:t> </w:t>
      </w:r>
      <w:r>
        <w:rPr>
          <w:color w:val="6E6158"/>
        </w:rPr>
        <w:t>throughout</w:t>
      </w:r>
      <w:r>
        <w:rPr>
          <w:color w:val="6E6158"/>
          <w:spacing w:val="28"/>
        </w:rPr>
        <w:t> </w:t>
      </w:r>
      <w:r>
        <w:rPr>
          <w:color w:val="6E6158"/>
        </w:rPr>
        <w:t>California,</w:t>
      </w:r>
      <w:r>
        <w:rPr>
          <w:color w:val="6E6158"/>
          <w:spacing w:val="28"/>
        </w:rPr>
        <w:t> </w:t>
      </w:r>
      <w:r>
        <w:rPr>
          <w:color w:val="6E6158"/>
        </w:rPr>
        <w:t>including</w:t>
      </w:r>
      <w:r>
        <w:rPr>
          <w:color w:val="6E6158"/>
          <w:spacing w:val="28"/>
        </w:rPr>
        <w:t> </w:t>
      </w:r>
      <w:r>
        <w:rPr>
          <w:color w:val="6E6158"/>
        </w:rPr>
        <w:t>in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Central</w:t>
      </w:r>
      <w:r>
        <w:rPr>
          <w:color w:val="6E6158"/>
          <w:spacing w:val="28"/>
        </w:rPr>
        <w:t> </w:t>
      </w:r>
      <w:r>
        <w:rPr>
          <w:color w:val="6E6158"/>
        </w:rPr>
        <w:t>Valley,</w:t>
      </w:r>
      <w:r>
        <w:rPr>
          <w:color w:val="6E6158"/>
          <w:spacing w:val="28"/>
        </w:rPr>
        <w:t> </w:t>
      </w:r>
      <w:r>
        <w:rPr>
          <w:color w:val="6E6158"/>
        </w:rPr>
        <w:t>the</w:t>
      </w:r>
      <w:r>
        <w:rPr>
          <w:color w:val="6E6158"/>
          <w:spacing w:val="28"/>
        </w:rPr>
        <w:t> </w:t>
      </w:r>
      <w:r>
        <w:rPr>
          <w:color w:val="6E6158"/>
        </w:rPr>
        <w:t>largest</w:t>
      </w:r>
      <w:r>
        <w:rPr>
          <w:color w:val="6E6158"/>
          <w:spacing w:val="28"/>
        </w:rPr>
        <w:t> </w:t>
      </w:r>
      <w:r>
        <w:rPr>
          <w:color w:val="6E6158"/>
        </w:rPr>
        <w:t>food producing region in the United States, and in Nogales, Arizona and McAllen, Texas, primary ports</w:t>
      </w:r>
      <w:r>
        <w:rPr>
          <w:color w:val="6E6158"/>
          <w:spacing w:val="40"/>
        </w:rPr>
        <w:t> </w:t>
      </w:r>
      <w:r>
        <w:rPr>
          <w:color w:val="6E6158"/>
        </w:rPr>
        <w:t>for</w:t>
      </w:r>
      <w:r>
        <w:rPr>
          <w:color w:val="6E6158"/>
          <w:spacing w:val="16"/>
        </w:rPr>
        <w:t> </w:t>
      </w:r>
      <w:r>
        <w:rPr>
          <w:color w:val="6E6158"/>
        </w:rPr>
        <w:t>import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export</w:t>
      </w:r>
      <w:r>
        <w:rPr>
          <w:color w:val="6E6158"/>
          <w:spacing w:val="16"/>
        </w:rPr>
        <w:t> </w:t>
      </w:r>
      <w:r>
        <w:rPr>
          <w:color w:val="6E6158"/>
        </w:rPr>
        <w:t>of</w:t>
      </w:r>
      <w:r>
        <w:rPr>
          <w:color w:val="6E6158"/>
          <w:spacing w:val="16"/>
        </w:rPr>
        <w:t> </w:t>
      </w:r>
      <w:r>
        <w:rPr>
          <w:color w:val="6E6158"/>
        </w:rPr>
        <w:t>fresh</w:t>
      </w:r>
      <w:r>
        <w:rPr>
          <w:color w:val="6E6158"/>
          <w:spacing w:val="16"/>
        </w:rPr>
        <w:t> </w:t>
      </w:r>
      <w:r>
        <w:rPr>
          <w:color w:val="6E6158"/>
        </w:rPr>
        <w:t>fruits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vegetables</w:t>
      </w:r>
      <w:r>
        <w:rPr>
          <w:color w:val="6E6158"/>
          <w:spacing w:val="16"/>
        </w:rPr>
        <w:t> </w:t>
      </w:r>
      <w:r>
        <w:rPr>
          <w:color w:val="6E6158"/>
        </w:rPr>
        <w:t>between</w:t>
      </w:r>
      <w:r>
        <w:rPr>
          <w:color w:val="6E6158"/>
          <w:spacing w:val="16"/>
        </w:rPr>
        <w:t> </w:t>
      </w:r>
      <w:r>
        <w:rPr>
          <w:color w:val="6E6158"/>
        </w:rPr>
        <w:t>the</w:t>
      </w:r>
      <w:r>
        <w:rPr>
          <w:color w:val="6E6158"/>
          <w:spacing w:val="16"/>
        </w:rPr>
        <w:t> </w:t>
      </w:r>
      <w:r>
        <w:rPr>
          <w:color w:val="6E6158"/>
        </w:rPr>
        <w:t>United</w:t>
      </w:r>
      <w:r>
        <w:rPr>
          <w:color w:val="6E6158"/>
          <w:spacing w:val="16"/>
        </w:rPr>
        <w:t> </w:t>
      </w:r>
      <w:r>
        <w:rPr>
          <w:color w:val="6E6158"/>
        </w:rPr>
        <w:t>States</w:t>
      </w:r>
      <w:r>
        <w:rPr>
          <w:color w:val="6E6158"/>
          <w:spacing w:val="16"/>
        </w:rPr>
        <w:t> </w:t>
      </w:r>
      <w:r>
        <w:rPr>
          <w:color w:val="6E6158"/>
        </w:rPr>
        <w:t>and</w:t>
      </w:r>
      <w:r>
        <w:rPr>
          <w:color w:val="6E6158"/>
          <w:spacing w:val="16"/>
        </w:rPr>
        <w:t> </w:t>
      </w:r>
      <w:r>
        <w:rPr>
          <w:color w:val="6E6158"/>
        </w:rPr>
        <w:t>Mexico,</w:t>
      </w:r>
      <w:r>
        <w:rPr>
          <w:color w:val="6E6158"/>
          <w:spacing w:val="16"/>
        </w:rPr>
        <w:t> </w:t>
      </w:r>
      <w:r>
        <w:rPr>
          <w:color w:val="6E6158"/>
        </w:rPr>
        <w:t>and in Idaho and Washington, where agriculture, timber, and forest products are central to the</w:t>
      </w:r>
      <w:r>
        <w:rPr>
          <w:color w:val="6E6158"/>
          <w:spacing w:val="40"/>
        </w:rPr>
        <w:t> </w:t>
      </w:r>
      <w:r>
        <w:rPr>
          <w:color w:val="6E6158"/>
        </w:rPr>
        <w:t>regional</w:t>
      </w:r>
      <w:r>
        <w:rPr>
          <w:color w:val="6E6158"/>
          <w:spacing w:val="30"/>
        </w:rPr>
        <w:t> </w:t>
      </w:r>
      <w:r>
        <w:rPr>
          <w:color w:val="6E6158"/>
        </w:rPr>
        <w:t>economy.</w:t>
      </w:r>
      <w:r>
        <w:rPr>
          <w:color w:val="6E6158"/>
          <w:spacing w:val="30"/>
        </w:rPr>
        <w:t> </w:t>
      </w:r>
      <w:r>
        <w:rPr>
          <w:color w:val="6E6158"/>
        </w:rPr>
        <w:t>We</w:t>
      </w:r>
      <w:r>
        <w:rPr>
          <w:color w:val="6E6158"/>
          <w:spacing w:val="30"/>
        </w:rPr>
        <w:t> </w:t>
      </w:r>
      <w:r>
        <w:rPr>
          <w:color w:val="6E6158"/>
        </w:rPr>
        <w:t>have</w:t>
      </w:r>
      <w:r>
        <w:rPr>
          <w:color w:val="6E6158"/>
          <w:spacing w:val="30"/>
        </w:rPr>
        <w:t> </w:t>
      </w:r>
      <w:r>
        <w:rPr>
          <w:color w:val="6E6158"/>
        </w:rPr>
        <w:t>decades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experience</w:t>
      </w:r>
      <w:r>
        <w:rPr>
          <w:color w:val="6E6158"/>
          <w:spacing w:val="30"/>
        </w:rPr>
        <w:t> </w:t>
      </w:r>
      <w:r>
        <w:rPr>
          <w:color w:val="6E6158"/>
        </w:rPr>
        <w:t>in</w:t>
      </w:r>
      <w:r>
        <w:rPr>
          <w:color w:val="6E6158"/>
          <w:spacing w:val="30"/>
        </w:rPr>
        <w:t> </w:t>
      </w:r>
      <w:r>
        <w:rPr>
          <w:color w:val="6E6158"/>
        </w:rPr>
        <w:t>all</w:t>
      </w:r>
      <w:r>
        <w:rPr>
          <w:color w:val="6E6158"/>
          <w:spacing w:val="30"/>
        </w:rPr>
        <w:t> </w:t>
      </w:r>
      <w:r>
        <w:rPr>
          <w:color w:val="6E6158"/>
        </w:rPr>
        <w:t>aspects</w:t>
      </w:r>
      <w:r>
        <w:rPr>
          <w:color w:val="6E6158"/>
          <w:spacing w:val="30"/>
        </w:rPr>
        <w:t> </w:t>
      </w:r>
      <w:r>
        <w:rPr>
          <w:color w:val="6E6158"/>
        </w:rPr>
        <w:t>of</w:t>
      </w:r>
      <w:r>
        <w:rPr>
          <w:color w:val="6E6158"/>
          <w:spacing w:val="30"/>
        </w:rPr>
        <w:t> </w:t>
      </w:r>
      <w:r>
        <w:rPr>
          <w:color w:val="6E6158"/>
        </w:rPr>
        <w:t>agribusiness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</w:p>
    <w:p>
      <w:pPr>
        <w:pStyle w:val="BodyText"/>
        <w:spacing w:after="0" w:line="295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292" w:lineRule="auto" w:before="83"/>
        <w:ind w:right="416"/>
      </w:pPr>
      <w:r>
        <w:rPr>
          <w:color w:val="6E6158"/>
        </w:rPr>
        <w:t>agricultural law. Fennemore’s agribusiness attorneys are uniquely positioned to assist clients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the agricultural community.</w:t>
      </w:r>
    </w:p>
    <w:p>
      <w:pPr>
        <w:pStyle w:val="Heading4"/>
      </w:pPr>
      <w:hyperlink r:id="rId19">
        <w:r>
          <w:rPr>
            <w:color w:val="FF8100"/>
          </w:rPr>
          <w:t>BUSINESS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AND</w:t>
        </w:r>
        <w:r>
          <w:rPr>
            <w:color w:val="FF8100"/>
            <w:spacing w:val="13"/>
          </w:rPr>
          <w:t> </w:t>
        </w:r>
        <w:r>
          <w:rPr>
            <w:color w:val="FF8100"/>
            <w:spacing w:val="-2"/>
          </w:rPr>
          <w:t>FINANCE</w:t>
        </w:r>
      </w:hyperlink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278"/>
      </w:pPr>
      <w:r>
        <w:rPr>
          <w:color w:val="6E6158"/>
        </w:rPr>
        <w:t>Our agribusiness attorneys have a diverse range of expertise in representing local, national and</w:t>
      </w:r>
      <w:r>
        <w:rPr>
          <w:color w:val="6E6158"/>
          <w:spacing w:val="40"/>
        </w:rPr>
        <w:t> </w:t>
      </w:r>
      <w:r>
        <w:rPr>
          <w:color w:val="6E6158"/>
        </w:rPr>
        <w:t>international clients participating in significant business transactions, including negotiating and</w:t>
      </w:r>
      <w:r>
        <w:rPr>
          <w:color w:val="6E6158"/>
          <w:spacing w:val="40"/>
        </w:rPr>
        <w:t> </w:t>
      </w:r>
      <w:r>
        <w:rPr>
          <w:color w:val="6E6158"/>
        </w:rPr>
        <w:t>drafting</w:t>
      </w:r>
      <w:r>
        <w:rPr>
          <w:color w:val="6E6158"/>
          <w:spacing w:val="36"/>
        </w:rPr>
        <w:t> </w:t>
      </w:r>
      <w:r>
        <w:rPr>
          <w:color w:val="6E6158"/>
        </w:rPr>
        <w:t>distributor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grower,</w:t>
      </w:r>
      <w:r>
        <w:rPr>
          <w:color w:val="6E6158"/>
          <w:spacing w:val="36"/>
        </w:rPr>
        <w:t> </w:t>
      </w:r>
      <w:r>
        <w:rPr>
          <w:color w:val="6E6158"/>
        </w:rPr>
        <w:t>consignment,</w:t>
      </w:r>
      <w:r>
        <w:rPr>
          <w:color w:val="6E6158"/>
          <w:spacing w:val="36"/>
        </w:rPr>
        <w:t> </w:t>
      </w:r>
      <w:r>
        <w:rPr>
          <w:color w:val="6E6158"/>
        </w:rPr>
        <w:t>sales,</w:t>
      </w:r>
      <w:r>
        <w:rPr>
          <w:color w:val="6E6158"/>
          <w:spacing w:val="36"/>
        </w:rPr>
        <w:t> </w:t>
      </w:r>
      <w:r>
        <w:rPr>
          <w:color w:val="6E6158"/>
        </w:rPr>
        <w:t>import,</w:t>
      </w:r>
      <w:r>
        <w:rPr>
          <w:color w:val="6E6158"/>
          <w:spacing w:val="36"/>
        </w:rPr>
        <w:t> </w:t>
      </w:r>
      <w:r>
        <w:rPr>
          <w:color w:val="6E6158"/>
        </w:rPr>
        <w:t>export</w:t>
      </w:r>
      <w:r>
        <w:rPr>
          <w:color w:val="6E6158"/>
          <w:spacing w:val="36"/>
        </w:rPr>
        <w:t> </w:t>
      </w:r>
      <w:r>
        <w:rPr>
          <w:color w:val="6E6158"/>
        </w:rPr>
        <w:t>and</w:t>
      </w:r>
      <w:r>
        <w:rPr>
          <w:color w:val="6E6158"/>
          <w:spacing w:val="36"/>
        </w:rPr>
        <w:t> </w:t>
      </w:r>
      <w:r>
        <w:rPr>
          <w:color w:val="6E6158"/>
        </w:rPr>
        <w:t>related</w:t>
      </w:r>
      <w:r>
        <w:rPr>
          <w:color w:val="6E6158"/>
          <w:spacing w:val="36"/>
        </w:rPr>
        <w:t> </w:t>
      </w:r>
      <w:r>
        <w:rPr>
          <w:color w:val="6E6158"/>
        </w:rPr>
        <w:t>agreements, timber and forest products and related contracts, representing clients with regard to agribusiness</w:t>
      </w:r>
      <w:r>
        <w:rPr>
          <w:color w:val="6E6158"/>
          <w:spacing w:val="40"/>
        </w:rPr>
        <w:t> </w:t>
      </w:r>
      <w:r>
        <w:rPr>
          <w:color w:val="6E6158"/>
        </w:rPr>
        <w:t>financing</w:t>
      </w:r>
      <w:r>
        <w:rPr>
          <w:color w:val="6E6158"/>
          <w:spacing w:val="35"/>
        </w:rPr>
        <w:t> </w:t>
      </w:r>
      <w:r>
        <w:rPr>
          <w:color w:val="6E6158"/>
        </w:rPr>
        <w:t>arrangements,</w:t>
      </w:r>
      <w:r>
        <w:rPr>
          <w:color w:val="6E6158"/>
          <w:spacing w:val="35"/>
        </w:rPr>
        <w:t> </w:t>
      </w:r>
      <w:r>
        <w:rPr>
          <w:color w:val="6E6158"/>
        </w:rPr>
        <w:t>including</w:t>
      </w:r>
      <w:r>
        <w:rPr>
          <w:color w:val="6E6158"/>
          <w:spacing w:val="35"/>
        </w:rPr>
        <w:t> </w:t>
      </w:r>
      <w:r>
        <w:rPr>
          <w:color w:val="6E6158"/>
        </w:rPr>
        <w:t>cross-border</w:t>
      </w:r>
      <w:r>
        <w:rPr>
          <w:color w:val="6E6158"/>
          <w:spacing w:val="35"/>
        </w:rPr>
        <w:t> </w:t>
      </w:r>
      <w:r>
        <w:rPr>
          <w:color w:val="6E6158"/>
        </w:rPr>
        <w:t>financing.</w:t>
      </w:r>
      <w:r>
        <w:rPr>
          <w:color w:val="6E6158"/>
          <w:spacing w:val="35"/>
        </w:rPr>
        <w:t> </w:t>
      </w:r>
      <w:r>
        <w:rPr>
          <w:color w:val="6E6158"/>
        </w:rPr>
        <w:t>Our</w:t>
      </w:r>
      <w:r>
        <w:rPr>
          <w:color w:val="6E6158"/>
          <w:spacing w:val="35"/>
        </w:rPr>
        <w:t> </w:t>
      </w:r>
      <w:r>
        <w:rPr>
          <w:color w:val="6E6158"/>
        </w:rPr>
        <w:t>attorneys</w:t>
      </w:r>
      <w:r>
        <w:rPr>
          <w:color w:val="6E6158"/>
          <w:spacing w:val="35"/>
        </w:rPr>
        <w:t> </w:t>
      </w:r>
      <w:r>
        <w:rPr>
          <w:color w:val="6E6158"/>
        </w:rPr>
        <w:t>are</w:t>
      </w:r>
      <w:r>
        <w:rPr>
          <w:color w:val="6E6158"/>
          <w:spacing w:val="35"/>
        </w:rPr>
        <w:t> </w:t>
      </w:r>
      <w:r>
        <w:rPr>
          <w:color w:val="6E6158"/>
        </w:rPr>
        <w:t>able</w:t>
      </w:r>
      <w:r>
        <w:rPr>
          <w:color w:val="6E6158"/>
          <w:spacing w:val="35"/>
        </w:rPr>
        <w:t> </w:t>
      </w:r>
      <w:r>
        <w:rPr>
          <w:color w:val="6E6158"/>
        </w:rPr>
        <w:t>to</w:t>
      </w:r>
      <w:r>
        <w:rPr>
          <w:color w:val="6E6158"/>
          <w:spacing w:val="35"/>
        </w:rPr>
        <w:t> </w:t>
      </w:r>
      <w:r>
        <w:rPr>
          <w:color w:val="6E6158"/>
        </w:rPr>
        <w:t>assist</w:t>
      </w:r>
      <w:r>
        <w:rPr>
          <w:color w:val="6E6158"/>
          <w:spacing w:val="35"/>
        </w:rPr>
        <w:t> </w:t>
      </w:r>
      <w:r>
        <w:rPr>
          <w:color w:val="6E6158"/>
        </w:rPr>
        <w:t>in every aspect of a business, from entity formations and maintenance, to business structures</w:t>
      </w:r>
      <w:r>
        <w:rPr>
          <w:color w:val="6E6158"/>
          <w:spacing w:val="40"/>
        </w:rPr>
        <w:t> </w:t>
      </w:r>
      <w:r>
        <w:rPr>
          <w:color w:val="6E6158"/>
        </w:rPr>
        <w:t>including international structures, to mergers and acquisitions.</w:t>
      </w:r>
    </w:p>
    <w:p>
      <w:pPr>
        <w:pStyle w:val="Heading4"/>
        <w:spacing w:before="200"/>
      </w:pPr>
      <w:hyperlink r:id="rId20">
        <w:r>
          <w:rPr>
            <w:color w:val="FF8100"/>
          </w:rPr>
          <w:t>INTELLECTUAL</w:t>
        </w:r>
        <w:r>
          <w:rPr>
            <w:color w:val="FF8100"/>
            <w:spacing w:val="25"/>
          </w:rPr>
          <w:t> </w:t>
        </w:r>
        <w:r>
          <w:rPr>
            <w:color w:val="FF8100"/>
            <w:spacing w:val="-2"/>
          </w:rPr>
          <w:t>PROPERTY</w:t>
        </w:r>
      </w:hyperlink>
    </w:p>
    <w:p>
      <w:pPr>
        <w:pStyle w:val="BodyText"/>
        <w:spacing w:before="14"/>
        <w:ind w:left="0"/>
      </w:pPr>
    </w:p>
    <w:p>
      <w:pPr>
        <w:pStyle w:val="BodyText"/>
        <w:spacing w:line="292" w:lineRule="auto"/>
        <w:ind w:right="416"/>
      </w:pPr>
      <w:r>
        <w:rPr>
          <w:color w:val="6E6158"/>
        </w:rPr>
        <w:t>Our intellectual property attorneys have decades of experience in assisting </w:t>
      </w:r>
      <w:r>
        <w:rPr>
          <w:color w:val="6E6158"/>
        </w:rPr>
        <w:t>agribusiness companies</w:t>
      </w:r>
      <w:r>
        <w:rPr>
          <w:color w:val="6E6158"/>
          <w:spacing w:val="16"/>
        </w:rPr>
        <w:t> </w:t>
      </w:r>
      <w:r>
        <w:rPr>
          <w:color w:val="6E6158"/>
        </w:rPr>
        <w:t>protect</w:t>
      </w:r>
      <w:r>
        <w:rPr>
          <w:color w:val="6E6158"/>
          <w:spacing w:val="16"/>
        </w:rPr>
        <w:t> </w:t>
      </w:r>
      <w:r>
        <w:rPr>
          <w:color w:val="6E6158"/>
        </w:rPr>
        <w:t>their</w:t>
      </w:r>
      <w:r>
        <w:rPr>
          <w:color w:val="6E6158"/>
          <w:spacing w:val="16"/>
        </w:rPr>
        <w:t> </w:t>
      </w:r>
      <w:r>
        <w:rPr>
          <w:color w:val="6E6158"/>
        </w:rPr>
        <w:t>valuable</w:t>
      </w:r>
      <w:r>
        <w:rPr>
          <w:color w:val="6E6158"/>
          <w:spacing w:val="16"/>
        </w:rPr>
        <w:t> </w:t>
      </w:r>
      <w:r>
        <w:rPr>
          <w:color w:val="6E6158"/>
        </w:rPr>
        <w:t>intellectual</w:t>
      </w:r>
      <w:r>
        <w:rPr>
          <w:color w:val="6E6158"/>
          <w:spacing w:val="16"/>
        </w:rPr>
        <w:t> </w:t>
      </w:r>
      <w:r>
        <w:rPr>
          <w:color w:val="6E6158"/>
        </w:rPr>
        <w:t>property,</w:t>
      </w:r>
      <w:r>
        <w:rPr>
          <w:color w:val="6E6158"/>
          <w:spacing w:val="16"/>
        </w:rPr>
        <w:t> </w:t>
      </w:r>
      <w:r>
        <w:rPr>
          <w:color w:val="6E6158"/>
        </w:rPr>
        <w:t>including</w:t>
      </w:r>
      <w:r>
        <w:rPr>
          <w:color w:val="6E6158"/>
          <w:spacing w:val="16"/>
        </w:rPr>
        <w:t> </w:t>
      </w:r>
      <w:r>
        <w:rPr>
          <w:color w:val="6E6158"/>
        </w:rPr>
        <w:t>patents,</w:t>
      </w:r>
      <w:r>
        <w:rPr>
          <w:color w:val="6E6158"/>
          <w:spacing w:val="16"/>
        </w:rPr>
        <w:t> </w:t>
      </w:r>
      <w:r>
        <w:rPr>
          <w:color w:val="6E6158"/>
        </w:rPr>
        <w:t>trade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secrets,</w:t>
      </w:r>
    </w:p>
    <w:p>
      <w:pPr>
        <w:pStyle w:val="BodyText"/>
        <w:spacing w:line="295" w:lineRule="auto" w:before="1"/>
      </w:pPr>
      <w:r>
        <w:rPr>
          <w:color w:val="6E6158"/>
        </w:rPr>
        <w:t>trademarks, copyrights, and other labeling and marketing issues. We assist clients with licensing in</w:t>
      </w:r>
      <w:r>
        <w:rPr>
          <w:color w:val="6E6158"/>
          <w:spacing w:val="40"/>
        </w:rPr>
        <w:t> </w:t>
      </w:r>
      <w:r>
        <w:rPr>
          <w:color w:val="6E6158"/>
        </w:rPr>
        <w:t>order to help protect them and to leverage and protect their valuable intellectual property. Our</w:t>
      </w:r>
      <w:r>
        <w:rPr>
          <w:color w:val="6E6158"/>
          <w:spacing w:val="40"/>
        </w:rPr>
        <w:t> </w:t>
      </w:r>
      <w:r>
        <w:rPr>
          <w:color w:val="6E6158"/>
        </w:rPr>
        <w:t>intellectual</w:t>
      </w:r>
      <w:r>
        <w:rPr>
          <w:color w:val="6E6158"/>
          <w:spacing w:val="40"/>
        </w:rPr>
        <w:t> </w:t>
      </w:r>
      <w:r>
        <w:rPr>
          <w:color w:val="6E6158"/>
        </w:rPr>
        <w:t>property</w:t>
      </w:r>
      <w:r>
        <w:rPr>
          <w:color w:val="6E6158"/>
          <w:spacing w:val="40"/>
        </w:rPr>
        <w:t> </w:t>
      </w:r>
      <w:r>
        <w:rPr>
          <w:color w:val="6E6158"/>
        </w:rPr>
        <w:t>attorneys</w:t>
      </w:r>
      <w:r>
        <w:rPr>
          <w:color w:val="6E6158"/>
          <w:spacing w:val="40"/>
        </w:rPr>
        <w:t> </w:t>
      </w:r>
      <w:r>
        <w:rPr>
          <w:color w:val="6E6158"/>
        </w:rPr>
        <w:t>have</w:t>
      </w:r>
      <w:r>
        <w:rPr>
          <w:color w:val="6E6158"/>
          <w:spacing w:val="40"/>
        </w:rPr>
        <w:t> </w:t>
      </w:r>
      <w:r>
        <w:rPr>
          <w:color w:val="6E6158"/>
        </w:rPr>
        <w:t>considerable</w:t>
      </w:r>
      <w:r>
        <w:rPr>
          <w:color w:val="6E6158"/>
          <w:spacing w:val="40"/>
        </w:rPr>
        <w:t> </w:t>
      </w:r>
      <w:r>
        <w:rPr>
          <w:color w:val="6E6158"/>
        </w:rPr>
        <w:t>experience</w:t>
      </w:r>
      <w:r>
        <w:rPr>
          <w:color w:val="6E6158"/>
          <w:spacing w:val="40"/>
        </w:rPr>
        <w:t> </w:t>
      </w:r>
      <w:r>
        <w:rPr>
          <w:color w:val="6E6158"/>
        </w:rPr>
        <w:t>enforcing</w:t>
      </w:r>
      <w:r>
        <w:rPr>
          <w:color w:val="6E6158"/>
          <w:spacing w:val="40"/>
        </w:rPr>
        <w:t> </w:t>
      </w:r>
      <w:r>
        <w:rPr>
          <w:color w:val="6E6158"/>
        </w:rPr>
        <w:t>intellectual</w:t>
      </w:r>
      <w:r>
        <w:rPr>
          <w:color w:val="6E6158"/>
          <w:spacing w:val="40"/>
        </w:rPr>
        <w:t> </w:t>
      </w:r>
      <w:r>
        <w:rPr>
          <w:color w:val="6E6158"/>
        </w:rPr>
        <w:t>property rights and in resolving intellectual property disputes.</w:t>
      </w:r>
    </w:p>
    <w:p>
      <w:pPr>
        <w:pStyle w:val="Heading4"/>
      </w:pPr>
      <w:hyperlink r:id="rId21">
        <w:r>
          <w:rPr>
            <w:color w:val="FF8100"/>
            <w:spacing w:val="-2"/>
          </w:rPr>
          <w:t>ESTATE</w:t>
        </w:r>
        <w:r>
          <w:rPr>
            <w:color w:val="FF8100"/>
            <w:spacing w:val="-7"/>
          </w:rPr>
          <w:t> </w:t>
        </w:r>
        <w:r>
          <w:rPr>
            <w:color w:val="FF8100"/>
            <w:spacing w:val="-2"/>
          </w:rPr>
          <w:t>PLANNING</w:t>
        </w:r>
      </w:hyperlink>
    </w:p>
    <w:p>
      <w:pPr>
        <w:pStyle w:val="BodyText"/>
        <w:spacing w:before="14"/>
        <w:ind w:left="0"/>
      </w:pPr>
    </w:p>
    <w:p>
      <w:pPr>
        <w:pStyle w:val="BodyText"/>
        <w:spacing w:line="292" w:lineRule="auto"/>
        <w:ind w:right="818"/>
        <w:jc w:val="both"/>
      </w:pPr>
      <w:r>
        <w:rPr>
          <w:color w:val="6E6158"/>
        </w:rPr>
        <w:t>We know that for many in the agricultural community, farming is a family affair with farms, ranches,</w:t>
      </w:r>
      <w:r>
        <w:rPr>
          <w:color w:val="6E6158"/>
          <w:spacing w:val="37"/>
        </w:rPr>
        <w:t> </w:t>
      </w:r>
      <w:r>
        <w:rPr>
          <w:color w:val="6E6158"/>
        </w:rPr>
        <w:t>timberland,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operating</w:t>
      </w:r>
      <w:r>
        <w:rPr>
          <w:color w:val="6E6158"/>
          <w:spacing w:val="37"/>
        </w:rPr>
        <w:t> </w:t>
      </w:r>
      <w:r>
        <w:rPr>
          <w:color w:val="6E6158"/>
        </w:rPr>
        <w:t>businesses</w:t>
      </w:r>
      <w:r>
        <w:rPr>
          <w:color w:val="6E6158"/>
          <w:spacing w:val="37"/>
        </w:rPr>
        <w:t> </w:t>
      </w:r>
      <w:r>
        <w:rPr>
          <w:color w:val="6E6158"/>
        </w:rPr>
        <w:t>being</w:t>
      </w:r>
      <w:r>
        <w:rPr>
          <w:color w:val="6E6158"/>
          <w:spacing w:val="37"/>
        </w:rPr>
        <w:t> </w:t>
      </w:r>
      <w:r>
        <w:rPr>
          <w:color w:val="6E6158"/>
        </w:rPr>
        <w:t>passed</w:t>
      </w:r>
      <w:r>
        <w:rPr>
          <w:color w:val="6E6158"/>
          <w:spacing w:val="37"/>
        </w:rPr>
        <w:t> </w:t>
      </w:r>
      <w:r>
        <w:rPr>
          <w:color w:val="6E6158"/>
        </w:rPr>
        <w:t>down</w:t>
      </w:r>
      <w:r>
        <w:rPr>
          <w:color w:val="6E6158"/>
          <w:spacing w:val="37"/>
        </w:rPr>
        <w:t> </w:t>
      </w:r>
      <w:r>
        <w:rPr>
          <w:color w:val="6E6158"/>
        </w:rPr>
        <w:t>from</w:t>
      </w:r>
      <w:r>
        <w:rPr>
          <w:color w:val="6E6158"/>
          <w:spacing w:val="37"/>
        </w:rPr>
        <w:t> </w:t>
      </w:r>
      <w:r>
        <w:rPr>
          <w:color w:val="6E6158"/>
        </w:rPr>
        <w:t>generation</w:t>
      </w:r>
      <w:r>
        <w:rPr>
          <w:color w:val="6E6158"/>
          <w:spacing w:val="37"/>
        </w:rPr>
        <w:t> </w:t>
      </w:r>
      <w:r>
        <w:rPr>
          <w:color w:val="6E6158"/>
        </w:rPr>
        <w:t>to</w:t>
      </w:r>
    </w:p>
    <w:p>
      <w:pPr>
        <w:pStyle w:val="BodyText"/>
        <w:spacing w:line="297" w:lineRule="auto" w:before="1"/>
        <w:ind w:right="268"/>
        <w:jc w:val="both"/>
      </w:pPr>
      <w:r>
        <w:rPr>
          <w:color w:val="6E6158"/>
        </w:rPr>
        <w:t>generation. With estate and business planning departments experienced in the unique </w:t>
      </w:r>
      <w:r>
        <w:rPr>
          <w:color w:val="6E6158"/>
        </w:rPr>
        <w:t>aspects</w:t>
      </w:r>
      <w:r>
        <w:rPr>
          <w:color w:val="6E6158"/>
          <w:spacing w:val="80"/>
        </w:rPr>
        <w:t> </w:t>
      </w:r>
      <w:r>
        <w:rPr>
          <w:color w:val="6E6158"/>
        </w:rPr>
        <w:t>of business and succession strategies within the agricultural industry, we are able to help clients plan, integrate, and execute strategies to help meet their goals.</w:t>
      </w:r>
    </w:p>
    <w:p>
      <w:pPr>
        <w:pStyle w:val="Heading4"/>
        <w:spacing w:before="192"/>
      </w:pPr>
      <w:hyperlink r:id="rId22">
        <w:r>
          <w:rPr>
            <w:color w:val="FF8100"/>
          </w:rPr>
          <w:t>EMPLOYMENT</w:t>
        </w:r>
        <w:r>
          <w:rPr>
            <w:color w:val="FF8100"/>
            <w:spacing w:val="17"/>
          </w:rPr>
          <w:t> </w:t>
        </w:r>
        <w:r>
          <w:rPr>
            <w:color w:val="FF8100"/>
          </w:rPr>
          <w:t>AND</w:t>
        </w:r>
        <w:r>
          <w:rPr>
            <w:color w:val="FF8100"/>
            <w:spacing w:val="18"/>
          </w:rPr>
          <w:t> </w:t>
        </w:r>
        <w:r>
          <w:rPr>
            <w:color w:val="FF8100"/>
            <w:spacing w:val="-2"/>
          </w:rPr>
          <w:t>LABOR</w:t>
        </w:r>
      </w:hyperlink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278"/>
      </w:pPr>
      <w:r>
        <w:rPr>
          <w:color w:val="6E6158"/>
        </w:rPr>
        <w:t>We have a</w:t>
      </w:r>
      <w:r>
        <w:rPr>
          <w:color w:val="6E6158"/>
          <w:spacing w:val="80"/>
        </w:rPr>
        <w:t> </w:t>
      </w:r>
      <w:r>
        <w:rPr>
          <w:color w:val="6E6158"/>
        </w:rPr>
        <w:t>large employment law practice group with attorneys that are experienced not only</w:t>
      </w:r>
      <w:r>
        <w:rPr>
          <w:color w:val="6E6158"/>
          <w:spacing w:val="80"/>
        </w:rPr>
        <w:t> </w:t>
      </w:r>
      <w:r>
        <w:rPr>
          <w:color w:val="6E6158"/>
        </w:rPr>
        <w:t>in areas of employment law that are common to all businesses in the Mountain West, but also in</w:t>
      </w:r>
      <w:r>
        <w:rPr>
          <w:color w:val="6E6158"/>
          <w:spacing w:val="40"/>
        </w:rPr>
        <w:t> </w:t>
      </w:r>
      <w:r>
        <w:rPr>
          <w:color w:val="6E6158"/>
        </w:rPr>
        <w:t>areas that are unique to businesses in the agricultural industry. Our employment and labor</w:t>
      </w:r>
      <w:r>
        <w:rPr>
          <w:color w:val="6E6158"/>
          <w:spacing w:val="40"/>
        </w:rPr>
        <w:t> </w:t>
      </w:r>
      <w:r>
        <w:rPr>
          <w:color w:val="6E6158"/>
        </w:rPr>
        <w:t>attorneys provide valuable assistance in all aspects of the employment relationship, including</w:t>
      </w:r>
      <w:r>
        <w:rPr>
          <w:color w:val="6E6158"/>
          <w:spacing w:val="40"/>
        </w:rPr>
        <w:t> </w:t>
      </w:r>
      <w:r>
        <w:rPr>
          <w:color w:val="6E6158"/>
        </w:rPr>
        <w:t>employee</w:t>
      </w:r>
      <w:r>
        <w:rPr>
          <w:color w:val="6E6158"/>
          <w:spacing w:val="40"/>
        </w:rPr>
        <w:t> </w:t>
      </w:r>
      <w:r>
        <w:rPr>
          <w:color w:val="6E6158"/>
        </w:rPr>
        <w:t>benefits,</w:t>
      </w:r>
      <w:r>
        <w:rPr>
          <w:color w:val="6E6158"/>
          <w:spacing w:val="40"/>
        </w:rPr>
        <w:t> </w:t>
      </w:r>
      <w:r>
        <w:rPr>
          <w:color w:val="6E6158"/>
        </w:rPr>
        <w:t>employee</w:t>
      </w:r>
      <w:r>
        <w:rPr>
          <w:color w:val="6E6158"/>
          <w:spacing w:val="40"/>
        </w:rPr>
        <w:t> </w:t>
      </w:r>
      <w:r>
        <w:rPr>
          <w:color w:val="6E6158"/>
        </w:rPr>
        <w:t>health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safety,</w:t>
      </w:r>
      <w:r>
        <w:rPr>
          <w:color w:val="6E6158"/>
          <w:spacing w:val="40"/>
        </w:rPr>
        <w:t> </w:t>
      </w:r>
      <w:r>
        <w:rPr>
          <w:color w:val="6E6158"/>
        </w:rPr>
        <w:t>employment</w:t>
      </w:r>
      <w:r>
        <w:rPr>
          <w:color w:val="6E6158"/>
          <w:spacing w:val="40"/>
        </w:rPr>
        <w:t> </w:t>
      </w:r>
      <w:r>
        <w:rPr>
          <w:color w:val="6E6158"/>
        </w:rPr>
        <w:t>litigation,</w:t>
      </w:r>
      <w:r>
        <w:rPr>
          <w:color w:val="6E6158"/>
          <w:spacing w:val="40"/>
        </w:rPr>
        <w:t> </w:t>
      </w:r>
      <w:r>
        <w:rPr>
          <w:color w:val="6E6158"/>
        </w:rPr>
        <w:t>employment</w:t>
      </w:r>
    </w:p>
    <w:p>
      <w:pPr>
        <w:pStyle w:val="BodyText"/>
        <w:spacing w:line="292" w:lineRule="auto" w:before="7"/>
        <w:ind w:right="416"/>
      </w:pPr>
      <w:r>
        <w:rPr>
          <w:color w:val="6E6158"/>
        </w:rPr>
        <w:t>relationships, labor management, unemployment compensation, and workers’ </w:t>
      </w:r>
      <w:r>
        <w:rPr>
          <w:color w:val="6E6158"/>
        </w:rPr>
        <w:t>compensation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law.</w:t>
      </w:r>
    </w:p>
    <w:p>
      <w:pPr>
        <w:pStyle w:val="Heading4"/>
        <w:spacing w:before="197"/>
      </w:pPr>
      <w:hyperlink r:id="rId23">
        <w:r>
          <w:rPr>
            <w:color w:val="FF8100"/>
          </w:rPr>
          <w:t>REAL</w:t>
        </w:r>
        <w:r>
          <w:rPr>
            <w:color w:val="FF8100"/>
            <w:spacing w:val="9"/>
          </w:rPr>
          <w:t> </w:t>
        </w:r>
        <w:r>
          <w:rPr>
            <w:color w:val="FF8100"/>
            <w:spacing w:val="-2"/>
          </w:rPr>
          <w:t>ESTATE</w:t>
        </w:r>
      </w:hyperlink>
    </w:p>
    <w:p>
      <w:pPr>
        <w:pStyle w:val="BodyText"/>
        <w:spacing w:before="22"/>
        <w:ind w:left="0"/>
      </w:pPr>
    </w:p>
    <w:p>
      <w:pPr>
        <w:pStyle w:val="BodyText"/>
        <w:spacing w:line="292" w:lineRule="auto"/>
      </w:pPr>
      <w:r>
        <w:rPr>
          <w:color w:val="6E6158"/>
        </w:rPr>
        <w:t>Our experienced real estate attorneys represent agribusinesses in all aspects of commercial and</w:t>
      </w:r>
      <w:r>
        <w:rPr>
          <w:color w:val="6E6158"/>
          <w:spacing w:val="40"/>
        </w:rPr>
        <w:t> </w:t>
      </w:r>
      <w:r>
        <w:rPr>
          <w:color w:val="6E6158"/>
        </w:rPr>
        <w:t>agricultural</w:t>
      </w:r>
      <w:r>
        <w:rPr>
          <w:color w:val="6E6158"/>
          <w:spacing w:val="40"/>
        </w:rPr>
        <w:t> </w:t>
      </w:r>
      <w:r>
        <w:rPr>
          <w:color w:val="6E6158"/>
        </w:rPr>
        <w:t>real</w:t>
      </w:r>
      <w:r>
        <w:rPr>
          <w:color w:val="6E6158"/>
          <w:spacing w:val="40"/>
        </w:rPr>
        <w:t> </w:t>
      </w:r>
      <w:r>
        <w:rPr>
          <w:color w:val="6E6158"/>
        </w:rPr>
        <w:t>property</w:t>
      </w:r>
      <w:r>
        <w:rPr>
          <w:color w:val="6E6158"/>
          <w:spacing w:val="40"/>
        </w:rPr>
        <w:t> </w:t>
      </w:r>
      <w:r>
        <w:rPr>
          <w:color w:val="6E6158"/>
        </w:rPr>
        <w:t>transactions,</w:t>
      </w:r>
      <w:r>
        <w:rPr>
          <w:color w:val="6E6158"/>
          <w:spacing w:val="40"/>
        </w:rPr>
        <w:t> </w:t>
      </w:r>
      <w:r>
        <w:rPr>
          <w:color w:val="6E6158"/>
        </w:rPr>
        <w:t>including</w:t>
      </w:r>
      <w:r>
        <w:rPr>
          <w:color w:val="6E6158"/>
          <w:spacing w:val="40"/>
        </w:rPr>
        <w:t> </w:t>
      </w:r>
      <w:r>
        <w:rPr>
          <w:color w:val="6E6158"/>
        </w:rPr>
        <w:t>financing,</w:t>
      </w:r>
      <w:r>
        <w:rPr>
          <w:color w:val="6E6158"/>
          <w:spacing w:val="40"/>
        </w:rPr>
        <w:t> </w:t>
      </w:r>
      <w:r>
        <w:rPr>
          <w:color w:val="6E6158"/>
        </w:rPr>
        <w:t>leasing,</w:t>
      </w:r>
      <w:r>
        <w:rPr>
          <w:color w:val="6E6158"/>
          <w:spacing w:val="40"/>
        </w:rPr>
        <w:t> </w:t>
      </w:r>
      <w:r>
        <w:rPr>
          <w:color w:val="6E6158"/>
        </w:rPr>
        <w:t>acquisition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disposition,</w:t>
      </w:r>
    </w:p>
    <w:p>
      <w:pPr>
        <w:pStyle w:val="BodyText"/>
        <w:spacing w:before="1"/>
      </w:pPr>
      <w:r>
        <w:rPr>
          <w:color w:val="6E6158"/>
        </w:rPr>
        <w:t>eminent</w:t>
      </w:r>
      <w:r>
        <w:rPr>
          <w:color w:val="6E6158"/>
          <w:spacing w:val="14"/>
        </w:rPr>
        <w:t> </w:t>
      </w:r>
      <w:r>
        <w:rPr>
          <w:color w:val="6E6158"/>
        </w:rPr>
        <w:t>domain,</w:t>
      </w:r>
      <w:r>
        <w:rPr>
          <w:color w:val="6E6158"/>
          <w:spacing w:val="15"/>
        </w:rPr>
        <w:t> </w:t>
      </w:r>
      <w:r>
        <w:rPr>
          <w:color w:val="6E6158"/>
        </w:rPr>
        <w:t>access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</w:rPr>
        <w:t>road</w:t>
      </w:r>
      <w:r>
        <w:rPr>
          <w:color w:val="6E6158"/>
          <w:spacing w:val="15"/>
        </w:rPr>
        <w:t> </w:t>
      </w:r>
      <w:r>
        <w:rPr>
          <w:color w:val="6E6158"/>
        </w:rPr>
        <w:t>issues,</w:t>
      </w:r>
      <w:r>
        <w:rPr>
          <w:color w:val="6E6158"/>
          <w:spacing w:val="14"/>
        </w:rPr>
        <w:t> </w:t>
      </w:r>
      <w:r>
        <w:rPr>
          <w:color w:val="6E6158"/>
        </w:rPr>
        <w:t>easements,</w:t>
      </w:r>
      <w:r>
        <w:rPr>
          <w:color w:val="6E6158"/>
          <w:spacing w:val="15"/>
        </w:rPr>
        <w:t> </w:t>
      </w:r>
      <w:r>
        <w:rPr>
          <w:color w:val="6E6158"/>
        </w:rPr>
        <w:t>conservation</w:t>
      </w:r>
      <w:r>
        <w:rPr>
          <w:color w:val="6E6158"/>
          <w:spacing w:val="14"/>
        </w:rPr>
        <w:t> </w:t>
      </w:r>
      <w:r>
        <w:rPr>
          <w:color w:val="6E6158"/>
        </w:rPr>
        <w:t>and</w:t>
      </w:r>
      <w:r>
        <w:rPr>
          <w:color w:val="6E6158"/>
          <w:spacing w:val="15"/>
        </w:rPr>
        <w:t> </w:t>
      </w:r>
      <w:r>
        <w:rPr>
          <w:color w:val="6E6158"/>
          <w:spacing w:val="-2"/>
        </w:rPr>
        <w:t>restoration</w:t>
      </w:r>
    </w:p>
    <w:p>
      <w:pPr>
        <w:pStyle w:val="BodyText"/>
        <w:spacing w:line="302" w:lineRule="auto" w:before="52"/>
      </w:pPr>
      <w:r>
        <w:rPr>
          <w:color w:val="6E6158"/>
        </w:rPr>
        <w:t>arrangements, commercial real estate brokerage agreements, construction and </w:t>
      </w:r>
      <w:r>
        <w:rPr>
          <w:color w:val="6E6158"/>
        </w:rPr>
        <w:t>architectural</w:t>
      </w:r>
      <w:r>
        <w:rPr>
          <w:color w:val="6E6158"/>
          <w:spacing w:val="40"/>
        </w:rPr>
        <w:t> </w:t>
      </w:r>
      <w:r>
        <w:rPr>
          <w:color w:val="6E6158"/>
        </w:rPr>
        <w:t>agreements, and related areas.</w:t>
      </w:r>
    </w:p>
    <w:p>
      <w:pPr>
        <w:pStyle w:val="Heading4"/>
        <w:spacing w:before="186"/>
      </w:pPr>
      <w:hyperlink r:id="rId24">
        <w:r>
          <w:rPr>
            <w:color w:val="FF8100"/>
          </w:rPr>
          <w:t>TAX</w:t>
        </w:r>
        <w:r>
          <w:rPr>
            <w:color w:val="FF8100"/>
            <w:spacing w:val="-9"/>
          </w:rPr>
          <w:t> </w:t>
        </w:r>
        <w:r>
          <w:rPr>
            <w:color w:val="FF8100"/>
            <w:spacing w:val="-5"/>
          </w:rPr>
          <w:t>LAW</w:t>
        </w:r>
      </w:hyperlink>
    </w:p>
    <w:p>
      <w:pPr>
        <w:pStyle w:val="BodyText"/>
        <w:spacing w:before="14"/>
        <w:ind w:left="0"/>
      </w:pPr>
    </w:p>
    <w:p>
      <w:pPr>
        <w:pStyle w:val="BodyText"/>
        <w:spacing w:line="295" w:lineRule="auto" w:before="1"/>
        <w:ind w:right="261"/>
      </w:pPr>
      <w:r>
        <w:rPr>
          <w:color w:val="6E6158"/>
        </w:rPr>
        <w:t>We understand our clients’ business and blend practical advice with legal and tax analysis in</w:t>
      </w:r>
      <w:r>
        <w:rPr>
          <w:color w:val="6E6158"/>
          <w:spacing w:val="40"/>
        </w:rPr>
        <w:t> </w:t>
      </w:r>
      <w:r>
        <w:rPr>
          <w:color w:val="6E6158"/>
        </w:rPr>
        <w:t>order to give clients efficient solutions to meet their objectives. Our agricultural attorneys have</w:t>
      </w:r>
      <w:r>
        <w:rPr>
          <w:color w:val="6E6158"/>
          <w:spacing w:val="40"/>
        </w:rPr>
        <w:t> </w:t>
      </w:r>
      <w:r>
        <w:rPr>
          <w:color w:val="6E6158"/>
        </w:rPr>
        <w:t>experience in dealing with the tax issues that members of the agricultural community face,</w:t>
      </w:r>
      <w:r>
        <w:rPr>
          <w:color w:val="6E6158"/>
          <w:spacing w:val="40"/>
        </w:rPr>
        <w:t> </w:t>
      </w:r>
      <w:r>
        <w:rPr>
          <w:color w:val="6E6158"/>
        </w:rPr>
        <w:t>including international tax issues arising out of cross-border agricultural transactions. Our</w:t>
      </w:r>
      <w:r>
        <w:rPr>
          <w:color w:val="6E6158"/>
          <w:spacing w:val="40"/>
        </w:rPr>
        <w:t> </w:t>
      </w:r>
      <w:r>
        <w:rPr>
          <w:color w:val="6E6158"/>
        </w:rPr>
        <w:t>experienced</w:t>
      </w:r>
      <w:r>
        <w:rPr>
          <w:color w:val="6E6158"/>
          <w:spacing w:val="30"/>
        </w:rPr>
        <w:t> </w:t>
      </w:r>
      <w:r>
        <w:rPr>
          <w:color w:val="6E6158"/>
        </w:rPr>
        <w:t>tax</w:t>
      </w:r>
      <w:r>
        <w:rPr>
          <w:color w:val="6E6158"/>
          <w:spacing w:val="30"/>
        </w:rPr>
        <w:t> </w:t>
      </w:r>
      <w:r>
        <w:rPr>
          <w:color w:val="6E6158"/>
        </w:rPr>
        <w:t>attorneys</w:t>
      </w:r>
      <w:r>
        <w:rPr>
          <w:color w:val="6E6158"/>
          <w:spacing w:val="30"/>
        </w:rPr>
        <w:t> </w:t>
      </w:r>
      <w:r>
        <w:rPr>
          <w:color w:val="6E6158"/>
        </w:rPr>
        <w:t>can</w:t>
      </w:r>
      <w:r>
        <w:rPr>
          <w:color w:val="6E6158"/>
          <w:spacing w:val="30"/>
        </w:rPr>
        <w:t> </w:t>
      </w:r>
      <w:r>
        <w:rPr>
          <w:color w:val="6E6158"/>
        </w:rPr>
        <w:t>help</w:t>
      </w:r>
      <w:r>
        <w:rPr>
          <w:color w:val="6E6158"/>
          <w:spacing w:val="30"/>
        </w:rPr>
        <w:t> </w:t>
      </w:r>
      <w:r>
        <w:rPr>
          <w:color w:val="6E6158"/>
        </w:rPr>
        <w:t>navigate</w:t>
      </w:r>
      <w:r>
        <w:rPr>
          <w:color w:val="6E6158"/>
          <w:spacing w:val="30"/>
        </w:rPr>
        <w:t> </w:t>
      </w:r>
      <w:r>
        <w:rPr>
          <w:color w:val="6E6158"/>
        </w:rPr>
        <w:t>agreements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disputes</w:t>
      </w:r>
      <w:r>
        <w:rPr>
          <w:color w:val="6E6158"/>
          <w:spacing w:val="30"/>
        </w:rPr>
        <w:t> </w:t>
      </w:r>
      <w:r>
        <w:rPr>
          <w:color w:val="6E6158"/>
        </w:rPr>
        <w:t>with</w:t>
      </w:r>
      <w:r>
        <w:rPr>
          <w:color w:val="6E6158"/>
          <w:spacing w:val="30"/>
        </w:rPr>
        <w:t> </w:t>
      </w:r>
      <w:r>
        <w:rPr>
          <w:color w:val="6E6158"/>
        </w:rPr>
        <w:t>state</w:t>
      </w:r>
      <w:r>
        <w:rPr>
          <w:color w:val="6E6158"/>
          <w:spacing w:val="30"/>
        </w:rPr>
        <w:t> </w:t>
      </w:r>
      <w:r>
        <w:rPr>
          <w:color w:val="6E6158"/>
        </w:rPr>
        <w:t>and</w:t>
      </w:r>
      <w:r>
        <w:rPr>
          <w:color w:val="6E6158"/>
          <w:spacing w:val="30"/>
        </w:rPr>
        <w:t> </w:t>
      </w:r>
      <w:r>
        <w:rPr>
          <w:color w:val="6E6158"/>
        </w:rPr>
        <w:t>local</w:t>
      </w:r>
    </w:p>
    <w:p>
      <w:pPr>
        <w:pStyle w:val="BodyText"/>
        <w:spacing w:after="0" w:line="295" w:lineRule="auto"/>
        <w:sectPr>
          <w:pgSz w:w="12240" w:h="15840"/>
          <w:pgMar w:top="500" w:bottom="280" w:left="1440" w:right="1440"/>
        </w:sectPr>
      </w:pPr>
    </w:p>
    <w:p>
      <w:pPr>
        <w:pStyle w:val="BodyText"/>
        <w:spacing w:line="292" w:lineRule="auto" w:before="83"/>
        <w:ind w:right="416"/>
      </w:pPr>
      <w:r>
        <w:rPr>
          <w:color w:val="6E6158"/>
        </w:rPr>
        <w:t>taxing authorities and the Internal Revenue Service, including obtaining advance </w:t>
      </w:r>
      <w:r>
        <w:rPr>
          <w:color w:val="6E6158"/>
        </w:rPr>
        <w:t>pricing</w:t>
      </w:r>
      <w:r>
        <w:rPr>
          <w:color w:val="6E6158"/>
          <w:spacing w:val="40"/>
        </w:rPr>
        <w:t> </w:t>
      </w:r>
      <w:r>
        <w:rPr>
          <w:color w:val="6E6158"/>
        </w:rPr>
        <w:t>agreements for cross-border transactions.</w:t>
      </w:r>
    </w:p>
    <w:p>
      <w:pPr>
        <w:pStyle w:val="Heading4"/>
      </w:pPr>
      <w:hyperlink r:id="rId25">
        <w:r>
          <w:rPr>
            <w:color w:val="FF8100"/>
            <w:spacing w:val="-2"/>
          </w:rPr>
          <w:t>WATER</w:t>
        </w:r>
        <w:r>
          <w:rPr>
            <w:color w:val="FF8100"/>
            <w:spacing w:val="-8"/>
          </w:rPr>
          <w:t> </w:t>
        </w:r>
        <w:r>
          <w:rPr>
            <w:color w:val="FF8100"/>
            <w:spacing w:val="-5"/>
          </w:rPr>
          <w:t>LAW</w:t>
        </w:r>
      </w:hyperlink>
    </w:p>
    <w:p>
      <w:pPr>
        <w:pStyle w:val="BodyText"/>
        <w:spacing w:before="14"/>
        <w:ind w:left="0"/>
      </w:pPr>
    </w:p>
    <w:p>
      <w:pPr>
        <w:pStyle w:val="BodyText"/>
        <w:spacing w:line="295" w:lineRule="auto"/>
        <w:ind w:right="278"/>
      </w:pPr>
      <w:r>
        <w:rPr>
          <w:color w:val="6E6158"/>
        </w:rPr>
        <w:t>With a wealth of experience in Western water rights, including fluency with water laws and</w:t>
      </w:r>
      <w:r>
        <w:rPr>
          <w:color w:val="6E6158"/>
          <w:spacing w:val="40"/>
        </w:rPr>
        <w:t> </w:t>
      </w:r>
      <w:r>
        <w:rPr>
          <w:color w:val="6E6158"/>
        </w:rPr>
        <w:t>regulations in Arizona, California, Colorado, Nevada, and Mexico, we help clients obtain and</w:t>
      </w:r>
      <w:r>
        <w:rPr>
          <w:color w:val="6E6158"/>
          <w:spacing w:val="40"/>
        </w:rPr>
        <w:t> </w:t>
      </w:r>
      <w:r>
        <w:rPr>
          <w:color w:val="6E6158"/>
        </w:rPr>
        <w:t>protect the water supplies they need for their agribusinesses to succeed. We work with counsel in</w:t>
      </w:r>
      <w:r>
        <w:rPr>
          <w:color w:val="6E6158"/>
          <w:spacing w:val="40"/>
        </w:rPr>
        <w:t> </w:t>
      </w:r>
      <w:r>
        <w:rPr>
          <w:color w:val="6E6158"/>
        </w:rPr>
        <w:t>foreign countries, including Mexico and Canada, as necessary, to assist our clients in </w:t>
      </w:r>
      <w:r>
        <w:rPr>
          <w:color w:val="6E6158"/>
        </w:rPr>
        <w:t>agribusiness</w:t>
      </w:r>
      <w:r>
        <w:rPr>
          <w:color w:val="6E6158"/>
          <w:spacing w:val="40"/>
        </w:rPr>
        <w:t> </w:t>
      </w:r>
      <w:r>
        <w:rPr>
          <w:color w:val="6E6158"/>
        </w:rPr>
        <w:t>with international implications.</w:t>
      </w:r>
    </w:p>
    <w:p>
      <w:pPr>
        <w:pStyle w:val="Heading4"/>
        <w:spacing w:before="195"/>
      </w:pPr>
      <w:hyperlink r:id="rId26">
        <w:r>
          <w:rPr>
            <w:color w:val="FF8100"/>
            <w:spacing w:val="-2"/>
          </w:rPr>
          <w:t>LITIGATION</w:t>
        </w:r>
      </w:hyperlink>
    </w:p>
    <w:p>
      <w:pPr>
        <w:pStyle w:val="BodyText"/>
        <w:spacing w:before="14"/>
        <w:ind w:left="0"/>
      </w:pPr>
    </w:p>
    <w:p>
      <w:pPr>
        <w:pStyle w:val="BodyText"/>
        <w:spacing w:line="302" w:lineRule="auto"/>
        <w:ind w:right="416"/>
      </w:pPr>
      <w:r>
        <w:rPr>
          <w:color w:val="6E6158"/>
        </w:rPr>
        <w:t>The firm’s agricultural litigation team has extensive trial experience representing clients in </w:t>
      </w:r>
      <w:r>
        <w:rPr>
          <w:color w:val="6E6158"/>
        </w:rPr>
        <w:t>both</w:t>
      </w:r>
      <w:r>
        <w:rPr>
          <w:color w:val="6E6158"/>
          <w:spacing w:val="40"/>
        </w:rPr>
        <w:t> </w:t>
      </w:r>
      <w:r>
        <w:rPr>
          <w:color w:val="6E6158"/>
        </w:rPr>
        <w:t>state</w:t>
      </w:r>
      <w:r>
        <w:rPr>
          <w:color w:val="6E6158"/>
          <w:spacing w:val="24"/>
        </w:rPr>
        <w:t> </w:t>
      </w:r>
      <w:r>
        <w:rPr>
          <w:color w:val="6E6158"/>
        </w:rPr>
        <w:t>and</w:t>
      </w:r>
      <w:r>
        <w:rPr>
          <w:color w:val="6E6158"/>
          <w:spacing w:val="24"/>
        </w:rPr>
        <w:t> </w:t>
      </w:r>
      <w:r>
        <w:rPr>
          <w:color w:val="6E6158"/>
        </w:rPr>
        <w:t>federal</w:t>
      </w:r>
      <w:r>
        <w:rPr>
          <w:color w:val="6E6158"/>
          <w:spacing w:val="24"/>
        </w:rPr>
        <w:t> </w:t>
      </w:r>
      <w:r>
        <w:rPr>
          <w:color w:val="6E6158"/>
        </w:rPr>
        <w:t>courts</w:t>
      </w:r>
      <w:r>
        <w:rPr>
          <w:color w:val="6E6158"/>
          <w:spacing w:val="24"/>
        </w:rPr>
        <w:t> </w:t>
      </w:r>
      <w:r>
        <w:rPr>
          <w:color w:val="6E6158"/>
        </w:rPr>
        <w:t>as</w:t>
      </w:r>
      <w:r>
        <w:rPr>
          <w:color w:val="6E6158"/>
          <w:spacing w:val="24"/>
        </w:rPr>
        <w:t> </w:t>
      </w:r>
      <w:r>
        <w:rPr>
          <w:color w:val="6E6158"/>
        </w:rPr>
        <w:t>well</w:t>
      </w:r>
      <w:r>
        <w:rPr>
          <w:color w:val="6E6158"/>
          <w:spacing w:val="24"/>
        </w:rPr>
        <w:t> </w:t>
      </w:r>
      <w:r>
        <w:rPr>
          <w:color w:val="6E6158"/>
        </w:rPr>
        <w:t>as</w:t>
      </w:r>
      <w:r>
        <w:rPr>
          <w:color w:val="6E6158"/>
          <w:spacing w:val="24"/>
        </w:rPr>
        <w:t> </w:t>
      </w:r>
      <w:r>
        <w:rPr>
          <w:color w:val="6E6158"/>
        </w:rPr>
        <w:t>in</w:t>
      </w:r>
      <w:r>
        <w:rPr>
          <w:color w:val="6E6158"/>
          <w:spacing w:val="24"/>
        </w:rPr>
        <w:t> </w:t>
      </w:r>
      <w:r>
        <w:rPr>
          <w:color w:val="6E6158"/>
        </w:rPr>
        <w:t>front</w:t>
      </w:r>
      <w:r>
        <w:rPr>
          <w:color w:val="6E6158"/>
          <w:spacing w:val="24"/>
        </w:rPr>
        <w:t> </w:t>
      </w:r>
      <w:r>
        <w:rPr>
          <w:color w:val="6E6158"/>
        </w:rPr>
        <w:t>of</w:t>
      </w:r>
      <w:r>
        <w:rPr>
          <w:color w:val="6E6158"/>
          <w:spacing w:val="24"/>
        </w:rPr>
        <w:t> </w:t>
      </w:r>
      <w:r>
        <w:rPr>
          <w:color w:val="6E6158"/>
        </w:rPr>
        <w:t>administrative</w:t>
      </w:r>
      <w:r>
        <w:rPr>
          <w:color w:val="6E6158"/>
          <w:spacing w:val="24"/>
        </w:rPr>
        <w:t> </w:t>
      </w:r>
      <w:r>
        <w:rPr>
          <w:color w:val="6E6158"/>
        </w:rPr>
        <w:t>agencies</w:t>
      </w:r>
      <w:r>
        <w:rPr>
          <w:color w:val="6E6158"/>
          <w:spacing w:val="24"/>
        </w:rPr>
        <w:t> </w:t>
      </w:r>
      <w:r>
        <w:rPr>
          <w:color w:val="6E6158"/>
        </w:rPr>
        <w:t>such</w:t>
      </w:r>
      <w:r>
        <w:rPr>
          <w:color w:val="6E6158"/>
          <w:spacing w:val="24"/>
        </w:rPr>
        <w:t> </w:t>
      </w:r>
      <w:r>
        <w:rPr>
          <w:color w:val="6E6158"/>
        </w:rPr>
        <w:t>as</w:t>
      </w:r>
      <w:r>
        <w:rPr>
          <w:color w:val="6E6158"/>
          <w:spacing w:val="24"/>
        </w:rPr>
        <w:t> </w:t>
      </w:r>
      <w:r>
        <w:rPr>
          <w:color w:val="6E6158"/>
        </w:rPr>
        <w:t>PACA,</w:t>
      </w:r>
      <w:r>
        <w:rPr>
          <w:color w:val="6E6158"/>
          <w:spacing w:val="24"/>
        </w:rPr>
        <w:t> </w:t>
      </w:r>
      <w:r>
        <w:rPr>
          <w:color w:val="6E6158"/>
        </w:rPr>
        <w:t>the</w:t>
      </w:r>
    </w:p>
    <w:p>
      <w:pPr>
        <w:pStyle w:val="BodyText"/>
        <w:spacing w:line="292" w:lineRule="auto"/>
      </w:pPr>
      <w:hyperlink r:id="rId27">
        <w:r>
          <w:rPr>
            <w:color w:val="F5821F"/>
          </w:rPr>
          <w:t>Department of Labor</w:t>
        </w:r>
      </w:hyperlink>
      <w:r>
        <w:rPr>
          <w:color w:val="6E6158"/>
        </w:rPr>
        <w:t>, and the Department of Food and Agriculture. As a result of our years of experience and large client base in the agricultural community, our litigation attorneys have</w:t>
      </w:r>
      <w:r>
        <w:rPr>
          <w:color w:val="6E6158"/>
          <w:spacing w:val="40"/>
        </w:rPr>
        <w:t> </w:t>
      </w:r>
      <w:r>
        <w:rPr>
          <w:color w:val="6E6158"/>
        </w:rPr>
        <w:t>developed</w:t>
      </w:r>
      <w:r>
        <w:rPr>
          <w:color w:val="6E6158"/>
          <w:spacing w:val="37"/>
        </w:rPr>
        <w:t> </w:t>
      </w:r>
      <w:r>
        <w:rPr>
          <w:color w:val="6E6158"/>
        </w:rPr>
        <w:t>a</w:t>
      </w:r>
      <w:r>
        <w:rPr>
          <w:color w:val="6E6158"/>
          <w:spacing w:val="37"/>
        </w:rPr>
        <w:t> </w:t>
      </w:r>
      <w:r>
        <w:rPr>
          <w:color w:val="6E6158"/>
        </w:rPr>
        <w:t>specialized</w:t>
      </w:r>
      <w:r>
        <w:rPr>
          <w:color w:val="6E6158"/>
          <w:spacing w:val="37"/>
        </w:rPr>
        <w:t> </w:t>
      </w:r>
      <w:r>
        <w:rPr>
          <w:color w:val="6E6158"/>
        </w:rPr>
        <w:t>knowledge</w:t>
      </w:r>
      <w:r>
        <w:rPr>
          <w:color w:val="6E6158"/>
          <w:spacing w:val="37"/>
        </w:rPr>
        <w:t> </w:t>
      </w:r>
      <w:r>
        <w:rPr>
          <w:color w:val="6E6158"/>
        </w:rPr>
        <w:t>regarding</w:t>
      </w:r>
      <w:r>
        <w:rPr>
          <w:color w:val="6E6158"/>
          <w:spacing w:val="37"/>
        </w:rPr>
        <w:t> </w:t>
      </w:r>
      <w:r>
        <w:rPr>
          <w:color w:val="6E6158"/>
        </w:rPr>
        <w:t>the</w:t>
      </w:r>
      <w:r>
        <w:rPr>
          <w:color w:val="6E6158"/>
          <w:spacing w:val="37"/>
        </w:rPr>
        <w:t> </w:t>
      </w:r>
      <w:r>
        <w:rPr>
          <w:color w:val="6E6158"/>
        </w:rPr>
        <w:t>food</w:t>
      </w:r>
      <w:r>
        <w:rPr>
          <w:color w:val="6E6158"/>
          <w:spacing w:val="37"/>
        </w:rPr>
        <w:t> </w:t>
      </w:r>
      <w:r>
        <w:rPr>
          <w:color w:val="6E6158"/>
        </w:rPr>
        <w:t>production</w:t>
      </w:r>
      <w:r>
        <w:rPr>
          <w:color w:val="6E6158"/>
          <w:spacing w:val="37"/>
        </w:rPr>
        <w:t> </w:t>
      </w:r>
      <w:r>
        <w:rPr>
          <w:color w:val="6E6158"/>
        </w:rPr>
        <w:t>and</w:t>
      </w:r>
      <w:r>
        <w:rPr>
          <w:color w:val="6E6158"/>
          <w:spacing w:val="37"/>
        </w:rPr>
        <w:t> </w:t>
      </w:r>
      <w:r>
        <w:rPr>
          <w:color w:val="6E6158"/>
        </w:rPr>
        <w:t>forest</w:t>
      </w:r>
      <w:r>
        <w:rPr>
          <w:color w:val="6E6158"/>
          <w:spacing w:val="37"/>
        </w:rPr>
        <w:t> </w:t>
      </w:r>
      <w:r>
        <w:rPr>
          <w:color w:val="6E6158"/>
        </w:rPr>
        <w:t>products</w:t>
      </w:r>
    </w:p>
    <w:p>
      <w:pPr>
        <w:pStyle w:val="BodyText"/>
        <w:spacing w:line="295" w:lineRule="auto" w:before="1"/>
        <w:ind w:right="278"/>
      </w:pPr>
      <w:r>
        <w:rPr>
          <w:color w:val="6E6158"/>
        </w:rPr>
        <w:t>industries, and the types of disputes that can occur. Our litigation team also understands that not</w:t>
      </w:r>
      <w:r>
        <w:rPr>
          <w:color w:val="6E6158"/>
          <w:spacing w:val="40"/>
        </w:rPr>
        <w:t> </w:t>
      </w:r>
      <w:r>
        <w:rPr>
          <w:color w:val="6E6158"/>
        </w:rPr>
        <w:t>every</w:t>
      </w:r>
      <w:r>
        <w:rPr>
          <w:color w:val="6E6158"/>
          <w:spacing w:val="25"/>
        </w:rPr>
        <w:t> </w:t>
      </w:r>
      <w:r>
        <w:rPr>
          <w:color w:val="6E6158"/>
        </w:rPr>
        <w:t>dispute</w:t>
      </w:r>
      <w:r>
        <w:rPr>
          <w:color w:val="6E6158"/>
          <w:spacing w:val="25"/>
        </w:rPr>
        <w:t> </w:t>
      </w:r>
      <w:r>
        <w:rPr>
          <w:color w:val="6E6158"/>
        </w:rPr>
        <w:t>should</w:t>
      </w:r>
      <w:r>
        <w:rPr>
          <w:color w:val="6E6158"/>
          <w:spacing w:val="25"/>
        </w:rPr>
        <w:t> </w:t>
      </w:r>
      <w:r>
        <w:rPr>
          <w:color w:val="6E6158"/>
        </w:rPr>
        <w:t>or</w:t>
      </w:r>
      <w:r>
        <w:rPr>
          <w:color w:val="6E6158"/>
          <w:spacing w:val="25"/>
        </w:rPr>
        <w:t> </w:t>
      </w:r>
      <w:r>
        <w:rPr>
          <w:color w:val="6E6158"/>
        </w:rPr>
        <w:t>needs</w:t>
      </w:r>
      <w:r>
        <w:rPr>
          <w:color w:val="6E6158"/>
          <w:spacing w:val="25"/>
        </w:rPr>
        <w:t> </w:t>
      </w:r>
      <w:r>
        <w:rPr>
          <w:color w:val="6E6158"/>
        </w:rPr>
        <w:t>to</w:t>
      </w:r>
      <w:r>
        <w:rPr>
          <w:color w:val="6E6158"/>
          <w:spacing w:val="25"/>
        </w:rPr>
        <w:t> </w:t>
      </w:r>
      <w:r>
        <w:rPr>
          <w:color w:val="6E6158"/>
        </w:rPr>
        <w:t>result</w:t>
      </w:r>
      <w:r>
        <w:rPr>
          <w:color w:val="6E6158"/>
          <w:spacing w:val="25"/>
        </w:rPr>
        <w:t> </w:t>
      </w:r>
      <w:r>
        <w:rPr>
          <w:color w:val="6E6158"/>
        </w:rPr>
        <w:t>in</w:t>
      </w:r>
      <w:r>
        <w:rPr>
          <w:color w:val="6E6158"/>
          <w:spacing w:val="25"/>
        </w:rPr>
        <w:t> </w:t>
      </w:r>
      <w:r>
        <w:rPr>
          <w:color w:val="6E6158"/>
        </w:rPr>
        <w:t>litigation.</w:t>
      </w:r>
      <w:r>
        <w:rPr>
          <w:color w:val="6E6158"/>
          <w:spacing w:val="25"/>
        </w:rPr>
        <w:t> </w:t>
      </w:r>
      <w:r>
        <w:rPr>
          <w:color w:val="6E6158"/>
        </w:rPr>
        <w:t>For</w:t>
      </w:r>
      <w:r>
        <w:rPr>
          <w:color w:val="6E6158"/>
          <w:spacing w:val="25"/>
        </w:rPr>
        <w:t> </w:t>
      </w:r>
      <w:r>
        <w:rPr>
          <w:color w:val="6E6158"/>
        </w:rPr>
        <w:t>this</w:t>
      </w:r>
      <w:r>
        <w:rPr>
          <w:color w:val="6E6158"/>
          <w:spacing w:val="25"/>
        </w:rPr>
        <w:t> </w:t>
      </w:r>
      <w:r>
        <w:rPr>
          <w:color w:val="6E6158"/>
        </w:rPr>
        <w:t>reason,</w:t>
      </w:r>
      <w:r>
        <w:rPr>
          <w:color w:val="6E6158"/>
          <w:spacing w:val="25"/>
        </w:rPr>
        <w:t> </w:t>
      </w:r>
      <w:r>
        <w:rPr>
          <w:color w:val="6E6158"/>
        </w:rPr>
        <w:t>we</w:t>
      </w:r>
      <w:r>
        <w:rPr>
          <w:color w:val="6E6158"/>
          <w:spacing w:val="25"/>
        </w:rPr>
        <w:t> </w:t>
      </w:r>
      <w:r>
        <w:rPr>
          <w:color w:val="6E6158"/>
        </w:rPr>
        <w:t>also</w:t>
      </w:r>
      <w:r>
        <w:rPr>
          <w:color w:val="6E6158"/>
          <w:spacing w:val="25"/>
        </w:rPr>
        <w:t> </w:t>
      </w:r>
      <w:r>
        <w:rPr>
          <w:color w:val="6E6158"/>
        </w:rPr>
        <w:t>provide</w:t>
      </w:r>
      <w:r>
        <w:rPr>
          <w:color w:val="6E6158"/>
          <w:spacing w:val="25"/>
        </w:rPr>
        <w:t> </w:t>
      </w:r>
      <w:r>
        <w:rPr>
          <w:color w:val="6E6158"/>
        </w:rPr>
        <w:t>advisory services designed to proactively create a strategy for clients that will align with their overall</w:t>
      </w:r>
      <w:r>
        <w:rPr>
          <w:color w:val="6E6158"/>
          <w:spacing w:val="80"/>
        </w:rPr>
        <w:t> </w:t>
      </w:r>
      <w:r>
        <w:rPr>
          <w:color w:val="6E6158"/>
        </w:rPr>
        <w:t>business goals.</w:t>
      </w:r>
    </w:p>
    <w:p>
      <w:pPr>
        <w:pStyle w:val="Heading2"/>
        <w:spacing w:before="162"/>
      </w:pPr>
      <w:r>
        <w:rPr>
          <w:color w:val="FF8100"/>
        </w:rPr>
        <w:t>GROWING</w:t>
      </w:r>
      <w:r>
        <w:rPr>
          <w:color w:val="FF8100"/>
          <w:spacing w:val="10"/>
        </w:rPr>
        <w:t> </w:t>
      </w:r>
      <w:r>
        <w:rPr>
          <w:color w:val="FF8100"/>
        </w:rPr>
        <w:t>YOUR</w:t>
      </w:r>
      <w:r>
        <w:rPr>
          <w:color w:val="FF8100"/>
          <w:spacing w:val="10"/>
        </w:rPr>
        <w:t> </w:t>
      </w:r>
      <w:r>
        <w:rPr>
          <w:color w:val="FF8100"/>
          <w:spacing w:val="-2"/>
        </w:rPr>
        <w:t>AGRIBUSINESS</w:t>
      </w:r>
    </w:p>
    <w:p>
      <w:pPr>
        <w:pStyle w:val="BodyText"/>
        <w:spacing w:line="292" w:lineRule="auto" w:before="147"/>
      </w:pPr>
      <w:r>
        <w:rPr>
          <w:color w:val="6E6158"/>
        </w:rPr>
        <w:t>We have extensive experience advising clients in all areas of agribusiness and agricultural law,</w:t>
      </w:r>
      <w:r>
        <w:rPr>
          <w:color w:val="6E6158"/>
          <w:spacing w:val="40"/>
        </w:rPr>
        <w:t> </w:t>
      </w:r>
      <w:r>
        <w:rPr>
          <w:color w:val="6E6158"/>
        </w:rPr>
        <w:t>including but not limited to the following:</w:t>
      </w:r>
    </w:p>
    <w:p>
      <w:pPr>
        <w:pStyle w:val="BodyText"/>
        <w:spacing w:before="197"/>
      </w:pPr>
      <w:hyperlink r:id="rId28">
        <w:r>
          <w:rPr>
            <w:color w:val="F5821F"/>
            <w:spacing w:val="-2"/>
          </w:rPr>
          <w:t>Bankruptcy</w:t>
        </w:r>
      </w:hyperlink>
    </w:p>
    <w:p>
      <w:pPr>
        <w:pStyle w:val="BodyText"/>
        <w:spacing w:line="420" w:lineRule="auto" w:before="182"/>
        <w:ind w:right="3924"/>
      </w:pPr>
      <w:r>
        <w:rPr>
          <w:color w:val="6E6158"/>
        </w:rPr>
        <w:t>California Department of Food and Agriculture </w:t>
      </w:r>
      <w:r>
        <w:rPr>
          <w:color w:val="6E6158"/>
        </w:rPr>
        <w:t>Matters California Producer’s Lien Actions</w:t>
      </w:r>
    </w:p>
    <w:p>
      <w:pPr>
        <w:pStyle w:val="BodyText"/>
        <w:spacing w:line="422" w:lineRule="auto"/>
        <w:ind w:right="7060"/>
      </w:pPr>
      <w:r>
        <w:rPr>
          <w:color w:val="6E6158"/>
        </w:rPr>
        <w:t>Capper-Volstead</w:t>
      </w:r>
      <w:r>
        <w:rPr>
          <w:color w:val="6E6158"/>
          <w:spacing w:val="-2"/>
        </w:rPr>
        <w:t> </w:t>
      </w:r>
      <w:r>
        <w:rPr>
          <w:color w:val="6E6158"/>
        </w:rPr>
        <w:t>Act </w:t>
      </w:r>
      <w:r>
        <w:rPr>
          <w:color w:val="6E6158"/>
          <w:spacing w:val="-2"/>
        </w:rPr>
        <w:t>Collections Cooperatives</w:t>
      </w:r>
    </w:p>
    <w:p>
      <w:pPr>
        <w:pStyle w:val="BodyText"/>
        <w:spacing w:line="232" w:lineRule="exact"/>
      </w:pPr>
      <w:r>
        <w:rPr>
          <w:color w:val="6E6158"/>
        </w:rPr>
        <w:t>Creditors’</w:t>
      </w:r>
      <w:r>
        <w:rPr>
          <w:color w:val="6E6158"/>
          <w:spacing w:val="17"/>
        </w:rPr>
        <w:t> </w:t>
      </w:r>
      <w:r>
        <w:rPr>
          <w:color w:val="6E6158"/>
          <w:spacing w:val="-2"/>
        </w:rPr>
        <w:t>Rights</w:t>
      </w:r>
    </w:p>
    <w:p>
      <w:pPr>
        <w:pStyle w:val="BodyText"/>
        <w:spacing w:line="427" w:lineRule="auto" w:before="172"/>
        <w:ind w:right="6497"/>
      </w:pPr>
      <w:r>
        <w:rPr>
          <w:color w:val="6E6158"/>
        </w:rPr>
        <w:t>Crop Loss and </w:t>
      </w:r>
      <w:r>
        <w:rPr>
          <w:color w:val="6E6158"/>
        </w:rPr>
        <w:t>Insurance </w:t>
      </w:r>
      <w:hyperlink r:id="rId29">
        <w:r>
          <w:rPr>
            <w:color w:val="F5821F"/>
          </w:rPr>
          <w:t>Eminent Domain</w:t>
        </w:r>
      </w:hyperlink>
    </w:p>
    <w:p>
      <w:pPr>
        <w:pStyle w:val="BodyText"/>
        <w:spacing w:line="226" w:lineRule="exact"/>
      </w:pPr>
      <w:hyperlink r:id="rId11">
        <w:r>
          <w:rPr>
            <w:color w:val="F5821F"/>
          </w:rPr>
          <w:t>Entity</w:t>
        </w:r>
        <w:r>
          <w:rPr>
            <w:color w:val="F5821F"/>
            <w:spacing w:val="18"/>
          </w:rPr>
          <w:t> </w:t>
        </w:r>
        <w:r>
          <w:rPr>
            <w:color w:val="F5821F"/>
          </w:rPr>
          <w:t>Formations,</w:t>
        </w:r>
        <w:r>
          <w:rPr>
            <w:color w:val="F5821F"/>
            <w:spacing w:val="18"/>
          </w:rPr>
          <w:t> </w:t>
        </w:r>
        <w:r>
          <w:rPr>
            <w:color w:val="F5821F"/>
          </w:rPr>
          <w:t>Maintenance</w:t>
        </w:r>
        <w:r>
          <w:rPr>
            <w:color w:val="F5821F"/>
            <w:spacing w:val="18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8"/>
          </w:rPr>
          <w:t> </w:t>
        </w:r>
        <w:r>
          <w:rPr>
            <w:color w:val="F5821F"/>
            <w:spacing w:val="-2"/>
          </w:rPr>
          <w:t>Structure</w:t>
        </w:r>
      </w:hyperlink>
    </w:p>
    <w:p>
      <w:pPr>
        <w:pStyle w:val="BodyText"/>
        <w:spacing w:line="420" w:lineRule="auto" w:before="174"/>
        <w:ind w:right="1333"/>
      </w:pPr>
      <w:hyperlink r:id="rId30">
        <w:r>
          <w:rPr>
            <w:color w:val="F5821F"/>
          </w:rPr>
          <w:t>Environmental Matters Including Hazardous Substance and Endangered </w:t>
        </w:r>
        <w:r>
          <w:rPr>
            <w:color w:val="F5821F"/>
          </w:rPr>
          <w:t>Species</w:t>
        </w:r>
      </w:hyperlink>
      <w:r>
        <w:rPr>
          <w:color w:val="F5821F"/>
        </w:rPr>
        <w:t> </w:t>
      </w:r>
      <w:hyperlink r:id="rId31">
        <w:r>
          <w:rPr>
            <w:color w:val="F5821F"/>
          </w:rPr>
          <w:t>Estate Planning, Trusts and Succession Planning</w:t>
        </w:r>
      </w:hyperlink>
    </w:p>
    <w:p>
      <w:pPr>
        <w:pStyle w:val="BodyText"/>
        <w:spacing w:line="420" w:lineRule="auto" w:before="6"/>
        <w:ind w:right="5999"/>
      </w:pPr>
      <w:r>
        <w:rPr>
          <w:color w:val="6E6158"/>
        </w:rPr>
        <w:t>FDA</w:t>
      </w:r>
      <w:r>
        <w:rPr>
          <w:color w:val="6E6158"/>
          <w:spacing w:val="40"/>
        </w:rPr>
        <w:t> </w:t>
      </w:r>
      <w:r>
        <w:rPr>
          <w:color w:val="6E6158"/>
        </w:rPr>
        <w:t>and</w:t>
      </w:r>
      <w:r>
        <w:rPr>
          <w:color w:val="6E6158"/>
          <w:spacing w:val="40"/>
        </w:rPr>
        <w:t> </w:t>
      </w:r>
      <w:r>
        <w:rPr>
          <w:color w:val="6E6158"/>
        </w:rPr>
        <w:t>USDA</w:t>
      </w:r>
      <w:r>
        <w:rPr>
          <w:color w:val="6E6158"/>
          <w:spacing w:val="40"/>
        </w:rPr>
        <w:t> </w:t>
      </w:r>
      <w:r>
        <w:rPr>
          <w:color w:val="6E6158"/>
        </w:rPr>
        <w:t>Regulations</w:t>
      </w:r>
      <w:r>
        <w:rPr>
          <w:color w:val="6E6158"/>
          <w:spacing w:val="40"/>
        </w:rPr>
        <w:t> </w:t>
      </w:r>
      <w:r>
        <w:rPr>
          <w:color w:val="6E6158"/>
        </w:rPr>
        <w:t>Federal Food Drug &amp; Cosmetic Act Federal Food Security Act</w:t>
      </w:r>
      <w:r>
        <w:rPr>
          <w:color w:val="6E6158"/>
          <w:spacing w:val="80"/>
        </w:rPr>
        <w:t> </w:t>
      </w:r>
      <w:hyperlink r:id="rId11">
        <w:r>
          <w:rPr>
            <w:color w:val="F5821F"/>
            <w:spacing w:val="-2"/>
          </w:rPr>
          <w:t>Financing</w:t>
        </w:r>
      </w:hyperlink>
    </w:p>
    <w:p>
      <w:pPr>
        <w:pStyle w:val="BodyText"/>
        <w:spacing w:before="5"/>
      </w:pPr>
      <w:r>
        <w:rPr>
          <w:color w:val="6E6158"/>
        </w:rPr>
        <w:t>Food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Safety</w:t>
      </w:r>
    </w:p>
    <w:p>
      <w:pPr>
        <w:pStyle w:val="BodyText"/>
        <w:spacing w:before="174"/>
      </w:pPr>
      <w:r>
        <w:rPr>
          <w:color w:val="6E6158"/>
        </w:rPr>
        <w:t>Food</w:t>
      </w:r>
      <w:r>
        <w:rPr>
          <w:color w:val="6E6158"/>
          <w:spacing w:val="18"/>
        </w:rPr>
        <w:t> </w:t>
      </w:r>
      <w:r>
        <w:rPr>
          <w:color w:val="6E6158"/>
        </w:rPr>
        <w:t>Safety</w:t>
      </w:r>
      <w:r>
        <w:rPr>
          <w:color w:val="6E6158"/>
          <w:spacing w:val="18"/>
        </w:rPr>
        <w:t> </w:t>
      </w:r>
      <w:r>
        <w:rPr>
          <w:color w:val="6E6158"/>
        </w:rPr>
        <w:t>Modernization</w:t>
      </w:r>
      <w:r>
        <w:rPr>
          <w:color w:val="6E6158"/>
          <w:spacing w:val="18"/>
        </w:rPr>
        <w:t> </w:t>
      </w:r>
      <w:r>
        <w:rPr>
          <w:color w:val="6E6158"/>
          <w:spacing w:val="-5"/>
        </w:rPr>
        <w:t>Act</w:t>
      </w:r>
    </w:p>
    <w:p>
      <w:pPr>
        <w:pStyle w:val="BodyText"/>
        <w:spacing w:after="0"/>
        <w:sectPr>
          <w:pgSz w:w="12240" w:h="15840"/>
          <w:pgMar w:top="500" w:bottom="280" w:left="1440" w:right="1440"/>
        </w:sectPr>
      </w:pPr>
    </w:p>
    <w:p>
      <w:pPr>
        <w:pStyle w:val="BodyText"/>
        <w:spacing w:before="83"/>
      </w:pPr>
      <w:hyperlink r:id="rId32">
        <w:r>
          <w:rPr>
            <w:color w:val="F5821F"/>
          </w:rPr>
          <w:t>Forest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Industry</w:t>
        </w:r>
        <w:r>
          <w:rPr>
            <w:color w:val="F5821F"/>
            <w:spacing w:val="13"/>
          </w:rPr>
          <w:t> </w:t>
        </w:r>
        <w:r>
          <w:rPr>
            <w:color w:val="F5821F"/>
          </w:rPr>
          <w:t>and</w:t>
        </w:r>
        <w:r>
          <w:rPr>
            <w:color w:val="F5821F"/>
            <w:spacing w:val="14"/>
          </w:rPr>
          <w:t> </w:t>
        </w:r>
        <w:r>
          <w:rPr>
            <w:color w:val="F5821F"/>
          </w:rPr>
          <w:t>Timber</w:t>
        </w:r>
        <w:r>
          <w:rPr>
            <w:color w:val="F5821F"/>
            <w:spacing w:val="13"/>
          </w:rPr>
          <w:t> </w:t>
        </w:r>
        <w:r>
          <w:rPr>
            <w:color w:val="F5821F"/>
            <w:spacing w:val="-5"/>
          </w:rPr>
          <w:t>Law</w:t>
        </w:r>
      </w:hyperlink>
    </w:p>
    <w:p>
      <w:pPr>
        <w:pStyle w:val="BodyText"/>
        <w:spacing w:line="427" w:lineRule="auto" w:before="174"/>
        <w:ind w:right="3924"/>
      </w:pPr>
      <w:r>
        <w:rPr>
          <w:color w:val="6E6158"/>
        </w:rPr>
        <w:t>Grower, Distributor and Marketing </w:t>
      </w:r>
      <w:r>
        <w:rPr>
          <w:color w:val="6E6158"/>
        </w:rPr>
        <w:t>Agreements </w:t>
      </w:r>
      <w:hyperlink r:id="rId33">
        <w:r>
          <w:rPr>
            <w:color w:val="F5821F"/>
            <w:spacing w:val="-2"/>
          </w:rPr>
          <w:t>Immigration</w:t>
        </w:r>
      </w:hyperlink>
    </w:p>
    <w:p>
      <w:pPr>
        <w:pStyle w:val="BodyText"/>
        <w:spacing w:line="226" w:lineRule="exact"/>
      </w:pPr>
      <w:hyperlink r:id="rId34">
        <w:r>
          <w:rPr>
            <w:color w:val="F5821F"/>
            <w:spacing w:val="-2"/>
          </w:rPr>
          <w:t>Insurance</w:t>
        </w:r>
      </w:hyperlink>
    </w:p>
    <w:p>
      <w:pPr>
        <w:pStyle w:val="BodyText"/>
        <w:spacing w:line="420" w:lineRule="auto" w:before="174"/>
        <w:ind w:right="2998"/>
      </w:pPr>
      <w:hyperlink r:id="rId35">
        <w:r>
          <w:rPr>
            <w:color w:val="F5821F"/>
          </w:rPr>
          <w:t>Intellectual Property</w:t>
        </w:r>
      </w:hyperlink>
      <w:r>
        <w:rPr>
          <w:color w:val="F5821F"/>
        </w:rPr>
        <w:t> </w:t>
      </w:r>
      <w:r>
        <w:rPr>
          <w:color w:val="6E6158"/>
        </w:rPr>
        <w:t>Matters Including Trademarks and </w:t>
      </w:r>
      <w:r>
        <w:rPr>
          <w:color w:val="6E6158"/>
        </w:rPr>
        <w:t>Patents </w:t>
      </w:r>
      <w:hyperlink r:id="rId36">
        <w:r>
          <w:rPr>
            <w:color w:val="F5821F"/>
          </w:rPr>
          <w:t>Labor and Employment Law</w:t>
        </w:r>
      </w:hyperlink>
    </w:p>
    <w:p>
      <w:pPr>
        <w:pStyle w:val="BodyText"/>
        <w:spacing w:line="420" w:lineRule="auto" w:before="7"/>
        <w:ind w:right="8043"/>
      </w:pPr>
      <w:r>
        <w:rPr>
          <w:color w:val="6E6158"/>
          <w:spacing w:val="-2"/>
        </w:rPr>
        <w:t>Liens </w:t>
      </w:r>
      <w:hyperlink r:id="rId37">
        <w:r>
          <w:rPr>
            <w:color w:val="F5821F"/>
            <w:spacing w:val="-2"/>
          </w:rPr>
          <w:t>Litigation</w:t>
        </w:r>
      </w:hyperlink>
    </w:p>
    <w:p>
      <w:pPr>
        <w:pStyle w:val="BodyText"/>
        <w:spacing w:line="422" w:lineRule="auto"/>
        <w:ind w:right="6497"/>
      </w:pPr>
      <w:r>
        <w:rPr>
          <w:color w:val="6E6158"/>
        </w:rPr>
        <w:t>Market Enforcement </w:t>
      </w:r>
      <w:r>
        <w:rPr>
          <w:color w:val="6E6158"/>
        </w:rPr>
        <w:t>Orders </w:t>
      </w:r>
      <w:hyperlink r:id="rId38">
        <w:r>
          <w:rPr>
            <w:color w:val="F5821F"/>
          </w:rPr>
          <w:t>Mergers and Acquisitions</w:t>
        </w:r>
      </w:hyperlink>
      <w:r>
        <w:rPr>
          <w:color w:val="F5821F"/>
        </w:rPr>
        <w:t> </w:t>
      </w:r>
      <w:r>
        <w:rPr>
          <w:color w:val="6E6158"/>
        </w:rPr>
        <w:t>Packers &amp; Stockyard Act</w:t>
      </w:r>
    </w:p>
    <w:p>
      <w:pPr>
        <w:pStyle w:val="BodyText"/>
        <w:spacing w:line="232" w:lineRule="exact"/>
      </w:pPr>
      <w:r>
        <w:rPr>
          <w:color w:val="6E6158"/>
        </w:rPr>
        <w:t>Perishable</w:t>
      </w:r>
      <w:r>
        <w:rPr>
          <w:color w:val="6E6158"/>
          <w:spacing w:val="22"/>
        </w:rPr>
        <w:t> </w:t>
      </w:r>
      <w:r>
        <w:rPr>
          <w:color w:val="6E6158"/>
        </w:rPr>
        <w:t>Agricultural</w:t>
      </w:r>
      <w:r>
        <w:rPr>
          <w:color w:val="6E6158"/>
          <w:spacing w:val="22"/>
        </w:rPr>
        <w:t> </w:t>
      </w:r>
      <w:r>
        <w:rPr>
          <w:color w:val="6E6158"/>
        </w:rPr>
        <w:t>Commodities</w:t>
      </w:r>
      <w:r>
        <w:rPr>
          <w:color w:val="6E6158"/>
          <w:spacing w:val="23"/>
        </w:rPr>
        <w:t> </w:t>
      </w:r>
      <w:r>
        <w:rPr>
          <w:color w:val="6E6158"/>
          <w:spacing w:val="-5"/>
        </w:rPr>
        <w:t>Act</w:t>
      </w:r>
    </w:p>
    <w:p>
      <w:pPr>
        <w:pStyle w:val="BodyText"/>
        <w:spacing w:line="422" w:lineRule="auto" w:before="172"/>
        <w:ind w:right="3591"/>
        <w:jc w:val="both"/>
      </w:pPr>
      <w:r>
        <w:rPr>
          <w:color w:val="6E6158"/>
        </w:rPr>
        <w:t>Perishable Agricultural Commodities Act Reparation </w:t>
      </w:r>
      <w:r>
        <w:rPr>
          <w:color w:val="6E6158"/>
        </w:rPr>
        <w:t>Actions Perishable Agricultural Commodities Act Disciplinary Actions Pesticide Damage</w:t>
      </w:r>
    </w:p>
    <w:p>
      <w:pPr>
        <w:pStyle w:val="BodyText"/>
        <w:spacing w:line="420" w:lineRule="auto"/>
        <w:ind w:right="7060"/>
      </w:pPr>
      <w:r>
        <w:rPr>
          <w:color w:val="6E6158"/>
        </w:rPr>
        <w:t>Plant Protection </w:t>
      </w:r>
      <w:r>
        <w:rPr>
          <w:color w:val="6E6158"/>
        </w:rPr>
        <w:t>Act Product Recall</w:t>
      </w:r>
    </w:p>
    <w:p>
      <w:pPr>
        <w:pStyle w:val="BodyText"/>
        <w:spacing w:line="420" w:lineRule="auto" w:before="5"/>
        <w:ind w:right="4480"/>
      </w:pPr>
      <w:hyperlink r:id="rId39">
        <w:r>
          <w:rPr>
            <w:color w:val="F5821F"/>
          </w:rPr>
          <w:t>Real Estate</w:t>
        </w:r>
      </w:hyperlink>
      <w:r>
        <w:rPr>
          <w:color w:val="F5821F"/>
        </w:rPr>
        <w:t> </w:t>
      </w:r>
      <w:r>
        <w:rPr>
          <w:color w:val="6E6158"/>
        </w:rPr>
        <w:t>Leases, Acquisitions and </w:t>
      </w:r>
      <w:r>
        <w:rPr>
          <w:color w:val="6E6158"/>
        </w:rPr>
        <w:t>Sales Regulatory Compliance</w:t>
      </w:r>
    </w:p>
    <w:p>
      <w:pPr>
        <w:pStyle w:val="BodyText"/>
        <w:spacing w:line="422" w:lineRule="auto"/>
        <w:ind w:right="7060"/>
      </w:pPr>
      <w:r>
        <w:rPr>
          <w:color w:val="6E6158"/>
        </w:rPr>
        <w:t>Sales Agreements Secured </w:t>
      </w:r>
      <w:r>
        <w:rPr>
          <w:color w:val="6E6158"/>
        </w:rPr>
        <w:t>Transactions Services Agreements Social Responsibility Supplier Agreements</w:t>
      </w:r>
    </w:p>
    <w:p>
      <w:pPr>
        <w:pStyle w:val="BodyText"/>
        <w:spacing w:line="427" w:lineRule="auto"/>
        <w:ind w:right="2998"/>
      </w:pPr>
      <w:r>
        <w:rPr>
          <w:color w:val="6E6158"/>
        </w:rPr>
        <w:t>Suspension Agreement on Fresh Tomatoes from Mexico </w:t>
      </w:r>
      <w:r>
        <w:rPr>
          <w:color w:val="6E6158"/>
        </w:rPr>
        <w:t>(2019) </w:t>
      </w:r>
      <w:r>
        <w:rPr>
          <w:color w:val="6E6158"/>
          <w:spacing w:val="-2"/>
        </w:rPr>
        <w:t>Sustainability</w:t>
      </w:r>
    </w:p>
    <w:p>
      <w:pPr>
        <w:pStyle w:val="BodyText"/>
        <w:spacing w:line="420" w:lineRule="auto"/>
        <w:ind w:right="7245"/>
      </w:pPr>
      <w:hyperlink r:id="rId40">
        <w:r>
          <w:rPr>
            <w:color w:val="F5821F"/>
            <w:spacing w:val="-2"/>
          </w:rPr>
          <w:t>Taxation</w:t>
        </w:r>
      </w:hyperlink>
      <w:r>
        <w:rPr>
          <w:color w:val="F5821F"/>
          <w:spacing w:val="-2"/>
        </w:rPr>
        <w:t> </w:t>
      </w:r>
      <w:r>
        <w:rPr>
          <w:color w:val="6E6158"/>
          <w:spacing w:val="-2"/>
        </w:rPr>
        <w:t>Transportation</w:t>
      </w:r>
    </w:p>
    <w:p>
      <w:pPr>
        <w:pStyle w:val="BodyText"/>
        <w:spacing w:line="427" w:lineRule="auto"/>
        <w:ind w:right="6497"/>
      </w:pPr>
      <w:r>
        <w:rPr>
          <w:color w:val="6E6158"/>
        </w:rPr>
        <w:t>Warehouse </w:t>
      </w:r>
      <w:r>
        <w:rPr>
          <w:color w:val="6E6158"/>
        </w:rPr>
        <w:t>Agreements </w:t>
      </w:r>
      <w:hyperlink r:id="rId41">
        <w:r>
          <w:rPr>
            <w:color w:val="F5821F"/>
          </w:rPr>
          <w:t>Water Rights</w:t>
        </w:r>
      </w:hyperlink>
    </w:p>
    <w:p>
      <w:pPr>
        <w:pStyle w:val="BodyText"/>
        <w:spacing w:line="226" w:lineRule="exact"/>
      </w:pPr>
      <w:r>
        <w:rPr>
          <w:color w:val="6E6158"/>
        </w:rPr>
        <w:t>Williamson</w:t>
      </w:r>
      <w:r>
        <w:rPr>
          <w:color w:val="6E6158"/>
          <w:spacing w:val="14"/>
        </w:rPr>
        <w:t> </w:t>
      </w:r>
      <w:r>
        <w:rPr>
          <w:color w:val="6E6158"/>
        </w:rPr>
        <w:t>Act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Program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689" w:right="693"/>
      <w:jc w:val="center"/>
      <w:outlineLvl w:val="1"/>
    </w:pPr>
    <w:rPr>
      <w:rFonts w:ascii="Century Gothic" w:hAnsi="Century Gothic" w:eastAsia="Century Gothic" w:cs="Century Gothic"/>
      <w:b/>
      <w:bCs/>
      <w:sz w:val="42"/>
      <w:szCs w:val="4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100"/>
      <w:ind w:left="4113"/>
      <w:outlineLvl w:val="3"/>
    </w:pPr>
    <w:rPr>
      <w:rFonts w:ascii="Century Gothic" w:hAnsi="Century Gothic" w:eastAsia="Century Gothic" w:cs="Century Gothic"/>
      <w:b/>
      <w:bCs/>
      <w:sz w:val="20"/>
      <w:szCs w:val="20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205"/>
      <w:ind w:left="99"/>
      <w:outlineLvl w:val="4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hyperlink" Target="https://www.fennemorelaw.com/services/agribusiness/" TargetMode="External"/><Relationship Id="rId11" Type="http://schemas.openxmlformats.org/officeDocument/2006/relationships/hyperlink" Target="https://www.fennemorelaw.com/services/business-and-finance/" TargetMode="External"/><Relationship Id="rId12" Type="http://schemas.openxmlformats.org/officeDocument/2006/relationships/hyperlink" Target="https://www.fennemorelaw.com/people/attorneys/kimberly-a-arana/" TargetMode="External"/><Relationship Id="rId13" Type="http://schemas.openxmlformats.org/officeDocument/2006/relationships/hyperlink" Target="https://www.fennemorelaw.com/contact-us/#nogales" TargetMode="External"/><Relationship Id="rId14" Type="http://schemas.openxmlformats.org/officeDocument/2006/relationships/hyperlink" Target="mailto:karana@fennemorelaw.com" TargetMode="External"/><Relationship Id="rId15" Type="http://schemas.openxmlformats.org/officeDocument/2006/relationships/hyperlink" Target="https://www.fennemorelaw.com/services/trusts-estates/" TargetMode="External"/><Relationship Id="rId16" Type="http://schemas.openxmlformats.org/officeDocument/2006/relationships/hyperlink" Target="https://www.fennemorelaw.com/people/attorneys/richard-m-aaron/" TargetMode="External"/><Relationship Id="rId17" Type="http://schemas.openxmlformats.org/officeDocument/2006/relationships/hyperlink" Target="https://www.fennemorelaw.com/contact-us/#fresno" TargetMode="External"/><Relationship Id="rId18" Type="http://schemas.openxmlformats.org/officeDocument/2006/relationships/hyperlink" Target="mailto:raaron@fennemorelaw.com" TargetMode="External"/><Relationship Id="rId19" Type="http://schemas.openxmlformats.org/officeDocument/2006/relationships/hyperlink" Target="https://www.fennemorelaw.com/services/practices/business-and-finance" TargetMode="External"/><Relationship Id="rId20" Type="http://schemas.openxmlformats.org/officeDocument/2006/relationships/hyperlink" Target="https://www.fennemorelaw.com/services/practices/intellectual-property-and-ip-litigation" TargetMode="External"/><Relationship Id="rId21" Type="http://schemas.openxmlformats.org/officeDocument/2006/relationships/hyperlink" Target="https://www.fennemorelaw.com/services/practices/estate-planning" TargetMode="External"/><Relationship Id="rId22" Type="http://schemas.openxmlformats.org/officeDocument/2006/relationships/hyperlink" Target="https://www.fennemorelaw.com/services/practices/employment-and-labor-relations" TargetMode="External"/><Relationship Id="rId23" Type="http://schemas.openxmlformats.org/officeDocument/2006/relationships/hyperlink" Target="https://www.fennemorelaw.com/services/practices/real-estate/" TargetMode="External"/><Relationship Id="rId24" Type="http://schemas.openxmlformats.org/officeDocument/2006/relationships/hyperlink" Target="https://www.fennemorelaw.com/services/practices/tax" TargetMode="External"/><Relationship Id="rId25" Type="http://schemas.openxmlformats.org/officeDocument/2006/relationships/hyperlink" Target="https://www.fennemorelaw.com/services/practices/natural-resources-energy-and-environmental" TargetMode="External"/><Relationship Id="rId26" Type="http://schemas.openxmlformats.org/officeDocument/2006/relationships/hyperlink" Target="https://www.fennemorelaw.com/services/practices/business-litigation" TargetMode="External"/><Relationship Id="rId27" Type="http://schemas.openxmlformats.org/officeDocument/2006/relationships/hyperlink" Target="https://www.dol.gov/" TargetMode="External"/><Relationship Id="rId28" Type="http://schemas.openxmlformats.org/officeDocument/2006/relationships/hyperlink" Target="https://www.fennemorelaw.com/services/financial-restructuring-bankruptcy-creditors-rights/" TargetMode="External"/><Relationship Id="rId29" Type="http://schemas.openxmlformats.org/officeDocument/2006/relationships/hyperlink" Target="https://www.fennemorelaw.com/services/eminent-domain/" TargetMode="External"/><Relationship Id="rId30" Type="http://schemas.openxmlformats.org/officeDocument/2006/relationships/hyperlink" Target="https://www.fennemorelaw.com/services/natural-resources-energy-and-environmental/" TargetMode="External"/><Relationship Id="rId31" Type="http://schemas.openxmlformats.org/officeDocument/2006/relationships/hyperlink" Target="https://www.fennemorelaw.com/services/estate-planning/" TargetMode="External"/><Relationship Id="rId32" Type="http://schemas.openxmlformats.org/officeDocument/2006/relationships/hyperlink" Target="https://www.fennemorelaw.com/services/forest-industry/" TargetMode="External"/><Relationship Id="rId33" Type="http://schemas.openxmlformats.org/officeDocument/2006/relationships/hyperlink" Target="https://www.fennemorelaw.com/services/immigration/" TargetMode="External"/><Relationship Id="rId34" Type="http://schemas.openxmlformats.org/officeDocument/2006/relationships/hyperlink" Target="https://www.fennemorelaw.com/services/insurance-coverage/" TargetMode="External"/><Relationship Id="rId35" Type="http://schemas.openxmlformats.org/officeDocument/2006/relationships/hyperlink" Target="https://www.fennemorelaw.com/services/intellectual-property-and-ip-litigation/" TargetMode="External"/><Relationship Id="rId36" Type="http://schemas.openxmlformats.org/officeDocument/2006/relationships/hyperlink" Target="https://www.fennemorelaw.com/services/employment-and-labor-relations/" TargetMode="External"/><Relationship Id="rId37" Type="http://schemas.openxmlformats.org/officeDocument/2006/relationships/hyperlink" Target="https://www.fennemorelaw.com/services/business-litigation/" TargetMode="External"/><Relationship Id="rId38" Type="http://schemas.openxmlformats.org/officeDocument/2006/relationships/hyperlink" Target="https://www.fennemorelaw.com/services/mergers-acquisitions/" TargetMode="External"/><Relationship Id="rId39" Type="http://schemas.openxmlformats.org/officeDocument/2006/relationships/hyperlink" Target="https://www.fennemorelaw.com/services/real-estate/" TargetMode="External"/><Relationship Id="rId40" Type="http://schemas.openxmlformats.org/officeDocument/2006/relationships/hyperlink" Target="https://www.fennemorelaw.com/services/tax/" TargetMode="External"/><Relationship Id="rId41" Type="http://schemas.openxmlformats.org/officeDocument/2006/relationships/hyperlink" Target="https://www.fennemorelaw.com/services/water-law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Agribusiness - Fennemore</dc:title>
  <dcterms:created xsi:type="dcterms:W3CDTF">2026-10-05T17:33:38Z</dcterms:created>
  <dcterms:modified xsi:type="dcterms:W3CDTF">2026-10-05T17:33:38Z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Mozilla/5.0 (X11; Linux x86_64) AppleWebKit/537.36 (KHTML, like Gecko) HeadlessChrome/154.0.0.0 Safari/537.36</vt:lpwstr>
  </property>
  <property fmtid="{D5CDD505-2E9C-101B-9397-08002B2CF9AE}" pid="5" name="LastSaved">
    <vt:filetime>2026-10-05T00:00:00Z</vt:filetime>
  </property>
  <property fmtid="{D5CDD505-2E9C-101B-9397-08002B2CF9AE}" pid="6" name="Producer">
    <vt:lpwstr>Skia/PDF m154</vt:lpwstr>
  </property>
</Properties>
</file>