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spacing w:before="236"/>
        <w:ind w:left="0"/>
        <w:rPr>
          <w:rFonts w:ascii="Times New Roman"/>
          <w:sz w:val="24"/>
        </w:rPr>
      </w:pPr>
    </w:p>
    <w:p>
      <w:pPr>
        <w:spacing w:before="0"/>
        <w:ind w:left="99" w:right="0" w:firstLine="0"/>
        <w:jc w:val="left"/>
        <w:rPr>
          <w:b/>
          <w:sz w:val="24"/>
        </w:rPr>
      </w:pPr>
      <w:r>
        <w:rPr>
          <w:b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848486</wp:posOffset>
                </wp:positionH>
                <wp:positionV relativeFrom="paragraph">
                  <wp:posOffset>-2956956</wp:posOffset>
                </wp:positionV>
                <wp:extent cx="6071870" cy="288861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2888615"/>
                          <a:chExt cx="6071870" cy="2888615"/>
                        </a:xfrm>
                      </wpg:grpSpPr>
                      <pic:pic>
                        <pic:nvPicPr>
                          <pic:cNvPr id="2" name="Image 2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 descr="Bruna Pedrini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6198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3038379" y="268700"/>
                            <a:ext cx="3033395" cy="2620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620010">
                                <a:moveTo>
                                  <a:pt x="3033212" y="2619827"/>
                                </a:moveTo>
                                <a:lnTo>
                                  <a:pt x="0" y="2619827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6198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518929" y="1369338"/>
                            <a:ext cx="2072639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2639" h="320675">
                                <a:moveTo>
                                  <a:pt x="2072093" y="315214"/>
                                </a:moveTo>
                                <a:lnTo>
                                  <a:pt x="0" y="315214"/>
                                </a:lnTo>
                                <a:lnTo>
                                  <a:pt x="0" y="320382"/>
                                </a:lnTo>
                                <a:lnTo>
                                  <a:pt x="2072093" y="320382"/>
                                </a:lnTo>
                                <a:lnTo>
                                  <a:pt x="2072093" y="315214"/>
                                </a:lnTo>
                                <a:close/>
                              </a:path>
                              <a:path w="2072639" h="320675">
                                <a:moveTo>
                                  <a:pt x="207209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2072093" y="5168"/>
                                </a:lnTo>
                                <a:lnTo>
                                  <a:pt x="20720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517728" y="763308"/>
                            <a:ext cx="2084705" cy="8255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18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z w:val="39"/>
                                </w:rPr>
                                <w:t>BRUNA E.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PEDRINI</w:t>
                              </w:r>
                            </w:p>
                            <w:p>
                              <w:pPr>
                                <w:spacing w:before="39"/>
                                <w:ind w:left="0" w:right="18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Director</w:t>
                              </w:r>
                            </w:p>
                            <w:p>
                              <w:pPr>
                                <w:spacing w:before="291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Education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4357416" y="1859626"/>
                            <a:ext cx="40513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Phoenix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3593946" y="2019783"/>
                            <a:ext cx="79883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602.916.5487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4739071" y="2019783"/>
                            <a:ext cx="78740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F: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602.916.5687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3805321" y="2226505"/>
                            <a:ext cx="150939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bpedrini@fennemorelaw.com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809998pt;margin-top:-232.831253pt;width:478.1pt;height:227.45pt;mso-position-horizontal-relative:page;mso-position-vertical-relative:paragraph;z-index:15728640" id="docshapegroup1" coordorigin="1336,-4657" coordsize="9562,4549">
                <v:shape style="position:absolute;left:1336;top:-4657;width:2165;height:424" type="#_x0000_t75" id="docshape2" alt="Fennemore" href="https://www.fennemorelaw.com/" stroked="false">
                  <v:imagedata r:id="rId5" o:title=""/>
                </v:shape>
                <v:shape style="position:absolute;left:1336;top:-4234;width:4785;height:4126" type="#_x0000_t75" id="docshape3" alt="Bruna Pedrini" stroked="false">
                  <v:imagedata r:id="rId7" o:title=""/>
                </v:shape>
                <v:rect style="position:absolute;left:6121;top:-4234;width:4777;height:4126" id="docshape4" filled="true" fillcolor="#262424" stroked="false">
                  <v:fill type="solid"/>
                </v:rect>
                <v:shape style="position:absolute;left:6877;top:-2501;width:3264;height:505" id="docshape5" coordorigin="6878,-2500" coordsize="3264,505" path="m10141,-2004l6878,-2004,6878,-1996,10141,-1996,10141,-2004xm10141,-2500l6878,-2500,6878,-2492,10141,-2492,10141,-2500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6875;top:-3455;width:3283;height:1300" type="#_x0000_t202" id="docshape6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18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z w:val="39"/>
                          </w:rPr>
                          <w:t>BRUNA E. </w:t>
                        </w: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PEDRINI</w:t>
                        </w:r>
                      </w:p>
                      <w:p>
                        <w:pPr>
                          <w:spacing w:before="39"/>
                          <w:ind w:left="0" w:right="18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Director</w:t>
                        </w:r>
                      </w:p>
                      <w:p>
                        <w:pPr>
                          <w:spacing w:before="291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Education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8198;top:-1729;width:638;height:200" type="#_x0000_t202" id="docshape7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Phoenix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6995;top:-1476;width:1258;height:210" type="#_x0000_t202" id="docshape8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602.916.5487</w:t>
                        </w:r>
                      </w:p>
                    </w:txbxContent>
                  </v:textbox>
                  <w10:wrap type="none"/>
                </v:shape>
                <v:shape style="position:absolute;left:8799;top:-1476;width:1240;height:210" type="#_x0000_t202" id="docshape9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F: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602.916.5687</w:t>
                        </w:r>
                      </w:p>
                    </w:txbxContent>
                  </v:textbox>
                  <w10:wrap type="none"/>
                </v:shape>
                <v:shape style="position:absolute;left:7328;top:-1151;width:2377;height:200" type="#_x0000_t202" id="docshape10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bpedrini@fennemorelaw.com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color w:val="002E6B"/>
          <w:sz w:val="24"/>
        </w:rPr>
        <w:t>BRUNA</w:t>
      </w:r>
      <w:r>
        <w:rPr>
          <w:b/>
          <w:color w:val="002E6B"/>
          <w:spacing w:val="5"/>
          <w:sz w:val="24"/>
        </w:rPr>
        <w:t> </w:t>
      </w:r>
      <w:r>
        <w:rPr>
          <w:b/>
          <w:color w:val="002E6B"/>
          <w:sz w:val="24"/>
        </w:rPr>
        <w:t>E.</w:t>
      </w:r>
      <w:r>
        <w:rPr>
          <w:b/>
          <w:color w:val="002E6B"/>
          <w:spacing w:val="6"/>
          <w:sz w:val="24"/>
        </w:rPr>
        <w:t> </w:t>
      </w:r>
      <w:r>
        <w:rPr>
          <w:b/>
          <w:color w:val="002E6B"/>
          <w:spacing w:val="-2"/>
          <w:sz w:val="24"/>
        </w:rPr>
        <w:t>PEDRINI</w:t>
      </w:r>
    </w:p>
    <w:p>
      <w:pPr>
        <w:pStyle w:val="BodyText"/>
        <w:spacing w:line="295" w:lineRule="auto" w:before="147"/>
        <w:ind w:right="106"/>
      </w:pPr>
      <w:r>
        <w:rPr>
          <w:color w:val="6E6158"/>
        </w:rPr>
        <w:t>Bruna</w:t>
      </w:r>
      <w:r>
        <w:rPr>
          <w:color w:val="6E6158"/>
          <w:spacing w:val="30"/>
        </w:rPr>
        <w:t> </w:t>
      </w:r>
      <w:r>
        <w:rPr>
          <w:color w:val="6E6158"/>
        </w:rPr>
        <w:t>focuses</w:t>
      </w:r>
      <w:r>
        <w:rPr>
          <w:color w:val="6E6158"/>
          <w:spacing w:val="30"/>
        </w:rPr>
        <w:t> </w:t>
      </w:r>
      <w:r>
        <w:rPr>
          <w:color w:val="6E6158"/>
        </w:rPr>
        <w:t>her</w:t>
      </w:r>
      <w:r>
        <w:rPr>
          <w:color w:val="6E6158"/>
          <w:spacing w:val="30"/>
        </w:rPr>
        <w:t> </w:t>
      </w:r>
      <w:r>
        <w:rPr>
          <w:color w:val="6E6158"/>
        </w:rPr>
        <w:t>practice</w:t>
      </w:r>
      <w:r>
        <w:rPr>
          <w:color w:val="6E6158"/>
          <w:spacing w:val="30"/>
        </w:rPr>
        <w:t> </w:t>
      </w:r>
      <w:r>
        <w:rPr>
          <w:color w:val="6E6158"/>
        </w:rPr>
        <w:t>on</w:t>
      </w:r>
      <w:r>
        <w:rPr>
          <w:color w:val="6E6158"/>
          <w:spacing w:val="30"/>
        </w:rPr>
        <w:t> </w:t>
      </w:r>
      <w:r>
        <w:rPr>
          <w:color w:val="6E6158"/>
        </w:rPr>
        <w:t>education</w:t>
      </w:r>
      <w:r>
        <w:rPr>
          <w:color w:val="6E6158"/>
          <w:spacing w:val="30"/>
        </w:rPr>
        <w:t> </w:t>
      </w:r>
      <w:r>
        <w:rPr>
          <w:color w:val="6E6158"/>
        </w:rPr>
        <w:t>law</w:t>
      </w:r>
      <w:r>
        <w:rPr>
          <w:color w:val="6E6158"/>
          <w:spacing w:val="30"/>
        </w:rPr>
        <w:t> </w:t>
      </w:r>
      <w:r>
        <w:rPr>
          <w:color w:val="6E6158"/>
        </w:rPr>
        <w:t>and</w:t>
      </w:r>
      <w:r>
        <w:rPr>
          <w:color w:val="6E6158"/>
          <w:spacing w:val="30"/>
        </w:rPr>
        <w:t> </w:t>
      </w:r>
      <w:r>
        <w:rPr>
          <w:color w:val="6E6158"/>
        </w:rPr>
        <w:t>employment</w:t>
      </w:r>
      <w:r>
        <w:rPr>
          <w:color w:val="6E6158"/>
          <w:spacing w:val="30"/>
        </w:rPr>
        <w:t> </w:t>
      </w:r>
      <w:r>
        <w:rPr>
          <w:color w:val="6E6158"/>
        </w:rPr>
        <w:t>law,</w:t>
      </w:r>
      <w:r>
        <w:rPr>
          <w:color w:val="6E6158"/>
          <w:spacing w:val="30"/>
        </w:rPr>
        <w:t> </w:t>
      </w:r>
      <w:r>
        <w:rPr>
          <w:color w:val="6E6158"/>
        </w:rPr>
        <w:t>with</w:t>
      </w:r>
      <w:r>
        <w:rPr>
          <w:color w:val="6E6158"/>
          <w:spacing w:val="30"/>
        </w:rPr>
        <w:t> </w:t>
      </w:r>
      <w:r>
        <w:rPr>
          <w:color w:val="6E6158"/>
        </w:rPr>
        <w:t>a</w:t>
      </w:r>
      <w:r>
        <w:rPr>
          <w:color w:val="6E6158"/>
          <w:spacing w:val="30"/>
        </w:rPr>
        <w:t> </w:t>
      </w:r>
      <w:r>
        <w:rPr>
          <w:color w:val="6E6158"/>
        </w:rPr>
        <w:t>particular</w:t>
      </w:r>
      <w:r>
        <w:rPr>
          <w:color w:val="6E6158"/>
          <w:spacing w:val="30"/>
        </w:rPr>
        <w:t> </w:t>
      </w:r>
      <w:r>
        <w:rPr>
          <w:color w:val="6E6158"/>
        </w:rPr>
        <w:t>emphasis on</w:t>
      </w:r>
      <w:r>
        <w:rPr>
          <w:color w:val="6E6158"/>
          <w:spacing w:val="40"/>
        </w:rPr>
        <w:t> </w:t>
      </w:r>
      <w:r>
        <w:rPr>
          <w:color w:val="6E6158"/>
        </w:rPr>
        <w:t>compliance,</w:t>
      </w:r>
      <w:r>
        <w:rPr>
          <w:color w:val="6E6158"/>
          <w:spacing w:val="40"/>
        </w:rPr>
        <w:t> </w:t>
      </w:r>
      <w:r>
        <w:rPr>
          <w:color w:val="6E6158"/>
        </w:rPr>
        <w:t>administrative</w:t>
      </w:r>
      <w:r>
        <w:rPr>
          <w:color w:val="6E6158"/>
          <w:spacing w:val="40"/>
        </w:rPr>
        <w:t> </w:t>
      </w:r>
      <w:r>
        <w:rPr>
          <w:color w:val="6E6158"/>
        </w:rPr>
        <w:t>investigations,</w:t>
      </w:r>
      <w:r>
        <w:rPr>
          <w:color w:val="6E6158"/>
          <w:spacing w:val="40"/>
        </w:rPr>
        <w:t> </w:t>
      </w:r>
      <w:r>
        <w:rPr>
          <w:color w:val="6E6158"/>
        </w:rPr>
        <w:t>accessibility</w:t>
      </w:r>
      <w:r>
        <w:rPr>
          <w:color w:val="6E6158"/>
          <w:spacing w:val="40"/>
        </w:rPr>
        <w:t>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anti-discrimination</w:t>
      </w:r>
      <w:r>
        <w:rPr>
          <w:color w:val="6E6158"/>
          <w:spacing w:val="40"/>
        </w:rPr>
        <w:t> </w:t>
      </w:r>
      <w:r>
        <w:rPr>
          <w:color w:val="6E6158"/>
        </w:rPr>
        <w:t>issues.</w:t>
      </w:r>
      <w:r>
        <w:rPr>
          <w:color w:val="6E6158"/>
          <w:spacing w:val="40"/>
        </w:rPr>
        <w:t> </w:t>
      </w:r>
      <w:r>
        <w:rPr>
          <w:color w:val="6E6158"/>
        </w:rPr>
        <w:t>She brings extensive, high-level experience advising educational institutions and employers, </w:t>
      </w:r>
      <w:r>
        <w:rPr>
          <w:color w:val="6E6158"/>
        </w:rPr>
        <w:t>including</w:t>
      </w:r>
      <w:r>
        <w:rPr>
          <w:color w:val="6E6158"/>
          <w:spacing w:val="80"/>
        </w:rPr>
        <w:t> </w:t>
      </w:r>
      <w:r>
        <w:rPr>
          <w:color w:val="6E6158"/>
        </w:rPr>
        <w:t>K-12</w:t>
      </w:r>
      <w:r>
        <w:rPr>
          <w:color w:val="6E6158"/>
          <w:spacing w:val="35"/>
        </w:rPr>
        <w:t> </w:t>
      </w:r>
      <w:r>
        <w:rPr>
          <w:color w:val="6E6158"/>
        </w:rPr>
        <w:t>public</w:t>
      </w:r>
      <w:r>
        <w:rPr>
          <w:color w:val="6E6158"/>
          <w:spacing w:val="35"/>
        </w:rPr>
        <w:t> </w:t>
      </w:r>
      <w:r>
        <w:rPr>
          <w:color w:val="6E6158"/>
        </w:rPr>
        <w:t>charter</w:t>
      </w:r>
      <w:r>
        <w:rPr>
          <w:color w:val="6E6158"/>
          <w:spacing w:val="35"/>
        </w:rPr>
        <w:t> </w:t>
      </w:r>
      <w:r>
        <w:rPr>
          <w:color w:val="6E6158"/>
        </w:rPr>
        <w:t>schools,</w:t>
      </w:r>
      <w:r>
        <w:rPr>
          <w:color w:val="6E6158"/>
          <w:spacing w:val="35"/>
        </w:rPr>
        <w:t> </w:t>
      </w:r>
      <w:r>
        <w:rPr>
          <w:color w:val="6E6158"/>
        </w:rPr>
        <w:t>colleges,</w:t>
      </w:r>
      <w:r>
        <w:rPr>
          <w:color w:val="6E6158"/>
          <w:spacing w:val="35"/>
        </w:rPr>
        <w:t> </w:t>
      </w:r>
      <w:r>
        <w:rPr>
          <w:color w:val="6E6158"/>
        </w:rPr>
        <w:t>universities,</w:t>
      </w:r>
      <w:r>
        <w:rPr>
          <w:color w:val="6E6158"/>
          <w:spacing w:val="35"/>
        </w:rPr>
        <w:t> </w:t>
      </w:r>
      <w:r>
        <w:rPr>
          <w:color w:val="6E6158"/>
        </w:rPr>
        <w:t>and</w:t>
      </w:r>
      <w:r>
        <w:rPr>
          <w:color w:val="6E6158"/>
          <w:spacing w:val="35"/>
        </w:rPr>
        <w:t> </w:t>
      </w:r>
      <w:r>
        <w:rPr>
          <w:color w:val="6E6158"/>
        </w:rPr>
        <w:t>corporate</w:t>
      </w:r>
      <w:r>
        <w:rPr>
          <w:color w:val="6E6158"/>
          <w:spacing w:val="35"/>
        </w:rPr>
        <w:t> </w:t>
      </w:r>
      <w:r>
        <w:rPr>
          <w:color w:val="6E6158"/>
        </w:rPr>
        <w:t>clients,</w:t>
      </w:r>
      <w:r>
        <w:rPr>
          <w:color w:val="6E6158"/>
          <w:spacing w:val="35"/>
        </w:rPr>
        <w:t> </w:t>
      </w:r>
      <w:r>
        <w:rPr>
          <w:color w:val="6E6158"/>
        </w:rPr>
        <w:t>on</w:t>
      </w:r>
      <w:r>
        <w:rPr>
          <w:color w:val="6E6158"/>
          <w:spacing w:val="35"/>
        </w:rPr>
        <w:t> </w:t>
      </w:r>
      <w:r>
        <w:rPr>
          <w:color w:val="6E6158"/>
        </w:rPr>
        <w:t>compliance</w:t>
      </w:r>
      <w:r>
        <w:rPr>
          <w:color w:val="6E6158"/>
          <w:spacing w:val="35"/>
        </w:rPr>
        <w:t> </w:t>
      </w:r>
      <w:r>
        <w:rPr>
          <w:color w:val="6E6158"/>
        </w:rPr>
        <w:t>with</w:t>
      </w:r>
    </w:p>
    <w:p>
      <w:pPr>
        <w:pStyle w:val="BodyText"/>
        <w:spacing w:before="9"/>
      </w:pPr>
      <w:r>
        <w:rPr>
          <w:color w:val="6E6158"/>
        </w:rPr>
        <w:t>federal,</w:t>
      </w:r>
      <w:r>
        <w:rPr>
          <w:color w:val="6E6158"/>
          <w:spacing w:val="7"/>
        </w:rPr>
        <w:t> </w:t>
      </w:r>
      <w:r>
        <w:rPr>
          <w:color w:val="6E6158"/>
        </w:rPr>
        <w:t>state,</w:t>
      </w:r>
      <w:r>
        <w:rPr>
          <w:color w:val="6E6158"/>
          <w:spacing w:val="10"/>
        </w:rPr>
        <w:t> </w:t>
      </w:r>
      <w:r>
        <w:rPr>
          <w:color w:val="6E6158"/>
        </w:rPr>
        <w:t>and</w:t>
      </w:r>
      <w:r>
        <w:rPr>
          <w:color w:val="6E6158"/>
          <w:spacing w:val="10"/>
        </w:rPr>
        <w:t> </w:t>
      </w:r>
      <w:r>
        <w:rPr>
          <w:color w:val="6E6158"/>
        </w:rPr>
        <w:t>local</w:t>
      </w:r>
      <w:r>
        <w:rPr>
          <w:color w:val="6E6158"/>
          <w:spacing w:val="9"/>
        </w:rPr>
        <w:t> </w:t>
      </w:r>
      <w:r>
        <w:rPr>
          <w:color w:val="6E6158"/>
        </w:rPr>
        <w:t>laws</w:t>
      </w:r>
      <w:r>
        <w:rPr>
          <w:color w:val="6E6158"/>
          <w:spacing w:val="10"/>
        </w:rPr>
        <w:t> </w:t>
      </w:r>
      <w:r>
        <w:rPr>
          <w:color w:val="6E6158"/>
        </w:rPr>
        <w:t>such</w:t>
      </w:r>
      <w:r>
        <w:rPr>
          <w:color w:val="6E6158"/>
          <w:spacing w:val="10"/>
        </w:rPr>
        <w:t> </w:t>
      </w:r>
      <w:r>
        <w:rPr>
          <w:color w:val="6E6158"/>
        </w:rPr>
        <w:t>as</w:t>
      </w:r>
      <w:r>
        <w:rPr>
          <w:color w:val="6E6158"/>
          <w:spacing w:val="9"/>
        </w:rPr>
        <w:t> </w:t>
      </w:r>
      <w:r>
        <w:rPr>
          <w:color w:val="6E6158"/>
        </w:rPr>
        <w:t>the</w:t>
      </w:r>
      <w:r>
        <w:rPr>
          <w:color w:val="6E6158"/>
          <w:spacing w:val="10"/>
        </w:rPr>
        <w:t> </w:t>
      </w:r>
      <w:r>
        <w:rPr>
          <w:color w:val="6E6158"/>
        </w:rPr>
        <w:t>ADA,</w:t>
      </w:r>
      <w:r>
        <w:rPr>
          <w:color w:val="6E6158"/>
          <w:spacing w:val="10"/>
        </w:rPr>
        <w:t> </w:t>
      </w:r>
      <w:r>
        <w:rPr>
          <w:color w:val="6E6158"/>
        </w:rPr>
        <w:t>Title</w:t>
      </w:r>
      <w:r>
        <w:rPr>
          <w:color w:val="6E6158"/>
          <w:spacing w:val="9"/>
        </w:rPr>
        <w:t> </w:t>
      </w:r>
      <w:r>
        <w:rPr>
          <w:color w:val="6E6158"/>
        </w:rPr>
        <w:t>IX,</w:t>
      </w:r>
      <w:r>
        <w:rPr>
          <w:color w:val="6E6158"/>
          <w:spacing w:val="10"/>
        </w:rPr>
        <w:t> </w:t>
      </w:r>
      <w:r>
        <w:rPr>
          <w:color w:val="6E6158"/>
        </w:rPr>
        <w:t>Title</w:t>
      </w:r>
      <w:r>
        <w:rPr>
          <w:color w:val="6E6158"/>
          <w:spacing w:val="10"/>
        </w:rPr>
        <w:t> </w:t>
      </w:r>
      <w:r>
        <w:rPr>
          <w:color w:val="6E6158"/>
        </w:rPr>
        <w:t>VI,</w:t>
      </w:r>
      <w:r>
        <w:rPr>
          <w:color w:val="6E6158"/>
          <w:spacing w:val="9"/>
        </w:rPr>
        <w:t> </w:t>
      </w:r>
      <w:r>
        <w:rPr>
          <w:color w:val="6E6158"/>
        </w:rPr>
        <w:t>and</w:t>
      </w:r>
      <w:r>
        <w:rPr>
          <w:color w:val="6E6158"/>
          <w:spacing w:val="10"/>
        </w:rPr>
        <w:t> </w:t>
      </w:r>
      <w:r>
        <w:rPr>
          <w:color w:val="6E6158"/>
        </w:rPr>
        <w:t>Title</w:t>
      </w:r>
      <w:r>
        <w:rPr>
          <w:color w:val="6E6158"/>
          <w:spacing w:val="10"/>
        </w:rPr>
        <w:t> </w:t>
      </w:r>
      <w:r>
        <w:rPr>
          <w:color w:val="6E6158"/>
        </w:rPr>
        <w:t>VII</w:t>
      </w:r>
      <w:r>
        <w:rPr>
          <w:color w:val="6E6158"/>
          <w:spacing w:val="9"/>
        </w:rPr>
        <w:t> </w:t>
      </w:r>
      <w:r>
        <w:rPr>
          <w:color w:val="6E6158"/>
        </w:rPr>
        <w:t>and</w:t>
      </w:r>
      <w:r>
        <w:rPr>
          <w:color w:val="6E6158"/>
          <w:spacing w:val="10"/>
        </w:rPr>
        <w:t> </w:t>
      </w:r>
      <w:r>
        <w:rPr>
          <w:color w:val="6E6158"/>
        </w:rPr>
        <w:t>Fair</w:t>
      </w:r>
      <w:r>
        <w:rPr>
          <w:color w:val="6E6158"/>
          <w:spacing w:val="10"/>
        </w:rPr>
        <w:t> </w:t>
      </w:r>
      <w:r>
        <w:rPr>
          <w:color w:val="6E6158"/>
        </w:rPr>
        <w:t>Housing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laws.</w:t>
      </w:r>
    </w:p>
    <w:p>
      <w:pPr>
        <w:pStyle w:val="BodyText"/>
        <w:spacing w:before="14"/>
        <w:ind w:left="0"/>
      </w:pPr>
    </w:p>
    <w:p>
      <w:pPr>
        <w:pStyle w:val="BodyText"/>
        <w:spacing w:before="1"/>
      </w:pPr>
      <w:r>
        <w:rPr>
          <w:color w:val="6E6158"/>
        </w:rPr>
        <w:t>Bruna</w:t>
      </w:r>
      <w:r>
        <w:rPr>
          <w:color w:val="6E6158"/>
          <w:spacing w:val="12"/>
        </w:rPr>
        <w:t> </w:t>
      </w:r>
      <w:r>
        <w:rPr>
          <w:color w:val="6E6158"/>
        </w:rPr>
        <w:t>represents</w:t>
      </w:r>
      <w:r>
        <w:rPr>
          <w:color w:val="6E6158"/>
          <w:spacing w:val="13"/>
        </w:rPr>
        <w:t> </w:t>
      </w:r>
      <w:r>
        <w:rPr>
          <w:color w:val="6E6158"/>
        </w:rPr>
        <w:t>educational</w:t>
      </w:r>
      <w:r>
        <w:rPr>
          <w:color w:val="6E6158"/>
          <w:spacing w:val="13"/>
        </w:rPr>
        <w:t> </w:t>
      </w:r>
      <w:r>
        <w:rPr>
          <w:color w:val="6E6158"/>
        </w:rPr>
        <w:t>institutions</w:t>
      </w:r>
      <w:r>
        <w:rPr>
          <w:color w:val="6E6158"/>
          <w:spacing w:val="13"/>
        </w:rPr>
        <w:t> </w:t>
      </w:r>
      <w:r>
        <w:rPr>
          <w:color w:val="6E6158"/>
        </w:rPr>
        <w:t>in</w:t>
      </w:r>
      <w:r>
        <w:rPr>
          <w:color w:val="6E6158"/>
          <w:spacing w:val="13"/>
        </w:rPr>
        <w:t> </w:t>
      </w:r>
      <w:r>
        <w:rPr>
          <w:color w:val="6E6158"/>
        </w:rPr>
        <w:t>a</w:t>
      </w:r>
      <w:r>
        <w:rPr>
          <w:color w:val="6E6158"/>
          <w:spacing w:val="13"/>
        </w:rPr>
        <w:t> </w:t>
      </w:r>
      <w:r>
        <w:rPr>
          <w:color w:val="6E6158"/>
        </w:rPr>
        <w:t>wide</w:t>
      </w:r>
      <w:r>
        <w:rPr>
          <w:color w:val="6E6158"/>
          <w:spacing w:val="13"/>
        </w:rPr>
        <w:t> </w:t>
      </w:r>
      <w:r>
        <w:rPr>
          <w:color w:val="6E6158"/>
        </w:rPr>
        <w:t>range</w:t>
      </w:r>
      <w:r>
        <w:rPr>
          <w:color w:val="6E6158"/>
          <w:spacing w:val="13"/>
        </w:rPr>
        <w:t> </w:t>
      </w:r>
      <w:r>
        <w:rPr>
          <w:color w:val="6E6158"/>
        </w:rPr>
        <w:t>of</w:t>
      </w:r>
      <w:r>
        <w:rPr>
          <w:color w:val="6E6158"/>
          <w:spacing w:val="13"/>
        </w:rPr>
        <w:t> </w:t>
      </w:r>
      <w:r>
        <w:rPr>
          <w:color w:val="6E6158"/>
        </w:rPr>
        <w:t>matters,</w:t>
      </w:r>
      <w:r>
        <w:rPr>
          <w:color w:val="6E6158"/>
          <w:spacing w:val="13"/>
        </w:rPr>
        <w:t> </w:t>
      </w:r>
      <w:r>
        <w:rPr>
          <w:color w:val="6E6158"/>
        </w:rPr>
        <w:t>including</w:t>
      </w:r>
      <w:r>
        <w:rPr>
          <w:color w:val="6E6158"/>
          <w:spacing w:val="13"/>
        </w:rPr>
        <w:t> </w:t>
      </w:r>
      <w:r>
        <w:rPr>
          <w:color w:val="6E6158"/>
        </w:rPr>
        <w:t>student</w:t>
      </w:r>
      <w:r>
        <w:rPr>
          <w:color w:val="6E6158"/>
          <w:spacing w:val="13"/>
        </w:rPr>
        <w:t> </w:t>
      </w:r>
      <w:r>
        <w:rPr>
          <w:color w:val="6E6158"/>
          <w:spacing w:val="-5"/>
        </w:rPr>
        <w:t>and</w:t>
      </w:r>
    </w:p>
    <w:p>
      <w:pPr>
        <w:pStyle w:val="BodyText"/>
        <w:spacing w:line="292" w:lineRule="auto" w:before="52"/>
      </w:pPr>
      <w:r>
        <w:rPr>
          <w:color w:val="6E6158"/>
        </w:rPr>
        <w:t>employment law matters involving discrimination and retaliation complaints, sexual </w:t>
      </w:r>
      <w:r>
        <w:rPr>
          <w:color w:val="6E6158"/>
        </w:rPr>
        <w:t>misconduct</w:t>
      </w:r>
      <w:r>
        <w:rPr>
          <w:color w:val="6E6158"/>
          <w:spacing w:val="40"/>
        </w:rPr>
        <w:t> </w:t>
      </w:r>
      <w:r>
        <w:rPr>
          <w:color w:val="6E6158"/>
        </w:rPr>
        <w:t>investigations,</w:t>
      </w:r>
      <w:r>
        <w:rPr>
          <w:color w:val="6E6158"/>
          <w:spacing w:val="40"/>
        </w:rPr>
        <w:t> </w:t>
      </w:r>
      <w:r>
        <w:rPr>
          <w:color w:val="6E6158"/>
        </w:rPr>
        <w:t>policy</w:t>
      </w:r>
      <w:r>
        <w:rPr>
          <w:color w:val="6E6158"/>
          <w:spacing w:val="40"/>
        </w:rPr>
        <w:t> </w:t>
      </w:r>
      <w:r>
        <w:rPr>
          <w:color w:val="6E6158"/>
        </w:rPr>
        <w:t>development</w:t>
      </w:r>
      <w:r>
        <w:rPr>
          <w:color w:val="6E6158"/>
          <w:spacing w:val="40"/>
        </w:rPr>
        <w:t>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implementation,</w:t>
      </w:r>
      <w:r>
        <w:rPr>
          <w:color w:val="6E6158"/>
          <w:spacing w:val="40"/>
        </w:rPr>
        <w:t>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compliance</w:t>
      </w:r>
      <w:r>
        <w:rPr>
          <w:color w:val="6E6158"/>
          <w:spacing w:val="40"/>
        </w:rPr>
        <w:t> </w:t>
      </w:r>
      <w:r>
        <w:rPr>
          <w:color w:val="6E6158"/>
        </w:rPr>
        <w:t>reviews.</w:t>
      </w:r>
      <w:r>
        <w:rPr>
          <w:color w:val="6E6158"/>
          <w:spacing w:val="40"/>
        </w:rPr>
        <w:t> </w:t>
      </w:r>
      <w:r>
        <w:rPr>
          <w:color w:val="6E6158"/>
        </w:rPr>
        <w:t>She</w:t>
      </w:r>
      <w:r>
        <w:rPr>
          <w:color w:val="6E6158"/>
          <w:spacing w:val="40"/>
        </w:rPr>
        <w:t> </w:t>
      </w:r>
      <w:r>
        <w:rPr>
          <w:color w:val="6E6158"/>
        </w:rPr>
        <w:t>also</w:t>
      </w:r>
    </w:p>
    <w:p>
      <w:pPr>
        <w:pStyle w:val="BodyText"/>
        <w:spacing w:line="292" w:lineRule="auto" w:before="9"/>
      </w:pPr>
      <w:r>
        <w:rPr>
          <w:color w:val="6E6158"/>
        </w:rPr>
        <w:t>advises employers on workplace accessibility, anti-discrimination policies, and diversity </w:t>
      </w:r>
      <w:r>
        <w:rPr>
          <w:color w:val="6E6158"/>
        </w:rPr>
        <w:t>initiatives,</w:t>
      </w:r>
      <w:r>
        <w:rPr>
          <w:color w:val="6E6158"/>
          <w:spacing w:val="40"/>
        </w:rPr>
        <w:t> </w:t>
      </w:r>
      <w:r>
        <w:rPr>
          <w:color w:val="6E6158"/>
        </w:rPr>
        <w:t>ensuring</w:t>
      </w:r>
      <w:r>
        <w:rPr>
          <w:color w:val="6E6158"/>
          <w:spacing w:val="35"/>
        </w:rPr>
        <w:t> </w:t>
      </w:r>
      <w:r>
        <w:rPr>
          <w:color w:val="6E6158"/>
        </w:rPr>
        <w:t>compliance</w:t>
      </w:r>
      <w:r>
        <w:rPr>
          <w:color w:val="6E6158"/>
          <w:spacing w:val="35"/>
        </w:rPr>
        <w:t> </w:t>
      </w:r>
      <w:r>
        <w:rPr>
          <w:color w:val="6E6158"/>
        </w:rPr>
        <w:t>with</w:t>
      </w:r>
      <w:r>
        <w:rPr>
          <w:color w:val="6E6158"/>
          <w:spacing w:val="35"/>
        </w:rPr>
        <w:t> </w:t>
      </w:r>
      <w:r>
        <w:rPr>
          <w:color w:val="6E6158"/>
        </w:rPr>
        <w:t>laws</w:t>
      </w:r>
      <w:r>
        <w:rPr>
          <w:color w:val="6E6158"/>
          <w:spacing w:val="35"/>
        </w:rPr>
        <w:t> </w:t>
      </w:r>
      <w:r>
        <w:rPr>
          <w:color w:val="6E6158"/>
        </w:rPr>
        <w:t>governing</w:t>
      </w:r>
      <w:r>
        <w:rPr>
          <w:color w:val="6E6158"/>
          <w:spacing w:val="35"/>
        </w:rPr>
        <w:t> </w:t>
      </w:r>
      <w:r>
        <w:rPr>
          <w:color w:val="6E6158"/>
        </w:rPr>
        <w:t>fair</w:t>
      </w:r>
      <w:r>
        <w:rPr>
          <w:color w:val="6E6158"/>
          <w:spacing w:val="35"/>
        </w:rPr>
        <w:t> </w:t>
      </w:r>
      <w:r>
        <w:rPr>
          <w:color w:val="6E6158"/>
        </w:rPr>
        <w:t>treatment</w:t>
      </w:r>
      <w:r>
        <w:rPr>
          <w:color w:val="6E6158"/>
          <w:spacing w:val="35"/>
        </w:rPr>
        <w:t> </w:t>
      </w:r>
      <w:r>
        <w:rPr>
          <w:color w:val="6E6158"/>
        </w:rPr>
        <w:t>in</w:t>
      </w:r>
      <w:r>
        <w:rPr>
          <w:color w:val="6E6158"/>
          <w:spacing w:val="35"/>
        </w:rPr>
        <w:t> </w:t>
      </w:r>
      <w:r>
        <w:rPr>
          <w:color w:val="6E6158"/>
        </w:rPr>
        <w:t>hiring,</w:t>
      </w:r>
      <w:r>
        <w:rPr>
          <w:color w:val="6E6158"/>
          <w:spacing w:val="35"/>
        </w:rPr>
        <w:t> </w:t>
      </w:r>
      <w:r>
        <w:rPr>
          <w:color w:val="6E6158"/>
        </w:rPr>
        <w:t>promotion,</w:t>
      </w:r>
      <w:r>
        <w:rPr>
          <w:color w:val="6E6158"/>
          <w:spacing w:val="35"/>
        </w:rPr>
        <w:t> </w:t>
      </w:r>
      <w:r>
        <w:rPr>
          <w:color w:val="6E6158"/>
        </w:rPr>
        <w:t>and</w:t>
      </w:r>
      <w:r>
        <w:rPr>
          <w:color w:val="6E6158"/>
          <w:spacing w:val="35"/>
        </w:rPr>
        <w:t> </w:t>
      </w:r>
      <w:r>
        <w:rPr>
          <w:color w:val="6E6158"/>
        </w:rPr>
        <w:t>workplace</w:t>
      </w:r>
    </w:p>
    <w:p>
      <w:pPr>
        <w:pStyle w:val="BodyText"/>
        <w:spacing w:before="1"/>
      </w:pPr>
      <w:r>
        <w:rPr>
          <w:color w:val="6E6158"/>
        </w:rPr>
        <w:t>practices.</w:t>
      </w:r>
      <w:r>
        <w:rPr>
          <w:color w:val="6E6158"/>
          <w:spacing w:val="12"/>
        </w:rPr>
        <w:t> </w:t>
      </w:r>
      <w:r>
        <w:rPr>
          <w:color w:val="6E6158"/>
        </w:rPr>
        <w:t>Bruna</w:t>
      </w:r>
      <w:r>
        <w:rPr>
          <w:color w:val="6E6158"/>
          <w:spacing w:val="12"/>
        </w:rPr>
        <w:t> </w:t>
      </w:r>
      <w:r>
        <w:rPr>
          <w:color w:val="6E6158"/>
        </w:rPr>
        <w:t>also</w:t>
      </w:r>
      <w:r>
        <w:rPr>
          <w:color w:val="6E6158"/>
          <w:spacing w:val="12"/>
        </w:rPr>
        <w:t> </w:t>
      </w:r>
      <w:r>
        <w:rPr>
          <w:color w:val="6E6158"/>
        </w:rPr>
        <w:t>serves</w:t>
      </w:r>
      <w:r>
        <w:rPr>
          <w:color w:val="6E6158"/>
          <w:spacing w:val="12"/>
        </w:rPr>
        <w:t> </w:t>
      </w:r>
      <w:r>
        <w:rPr>
          <w:color w:val="6E6158"/>
        </w:rPr>
        <w:t>as</w:t>
      </w:r>
      <w:r>
        <w:rPr>
          <w:color w:val="6E6158"/>
          <w:spacing w:val="12"/>
        </w:rPr>
        <w:t> </w:t>
      </w:r>
      <w:r>
        <w:rPr>
          <w:color w:val="6E6158"/>
        </w:rPr>
        <w:t>general</w:t>
      </w:r>
      <w:r>
        <w:rPr>
          <w:color w:val="6E6158"/>
          <w:spacing w:val="12"/>
        </w:rPr>
        <w:t> </w:t>
      </w:r>
      <w:r>
        <w:rPr>
          <w:color w:val="6E6158"/>
        </w:rPr>
        <w:t>counsel</w:t>
      </w:r>
      <w:r>
        <w:rPr>
          <w:color w:val="6E6158"/>
          <w:spacing w:val="12"/>
        </w:rPr>
        <w:t> </w:t>
      </w:r>
      <w:r>
        <w:rPr>
          <w:color w:val="6E6158"/>
        </w:rPr>
        <w:t>to</w:t>
      </w:r>
      <w:r>
        <w:rPr>
          <w:color w:val="6E6158"/>
          <w:spacing w:val="12"/>
        </w:rPr>
        <w:t> </w:t>
      </w:r>
      <w:r>
        <w:rPr>
          <w:color w:val="6E6158"/>
        </w:rPr>
        <w:t>public</w:t>
      </w:r>
      <w:r>
        <w:rPr>
          <w:color w:val="6E6158"/>
          <w:spacing w:val="12"/>
        </w:rPr>
        <w:t> </w:t>
      </w:r>
      <w:r>
        <w:rPr>
          <w:color w:val="6E6158"/>
        </w:rPr>
        <w:t>charter</w:t>
      </w:r>
      <w:r>
        <w:rPr>
          <w:color w:val="6E6158"/>
          <w:spacing w:val="13"/>
        </w:rPr>
        <w:t> </w:t>
      </w:r>
      <w:r>
        <w:rPr>
          <w:color w:val="6E6158"/>
        </w:rPr>
        <w:t>school</w:t>
      </w:r>
      <w:r>
        <w:rPr>
          <w:color w:val="6E6158"/>
          <w:spacing w:val="12"/>
        </w:rPr>
        <w:t> </w:t>
      </w:r>
      <w:r>
        <w:rPr>
          <w:color w:val="6E6158"/>
        </w:rPr>
        <w:t>networks</w:t>
      </w:r>
      <w:r>
        <w:rPr>
          <w:color w:val="6E6158"/>
          <w:spacing w:val="12"/>
        </w:rPr>
        <w:t> </w:t>
      </w:r>
      <w:r>
        <w:rPr>
          <w:color w:val="6E6158"/>
        </w:rPr>
        <w:t>and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schools.</w:t>
      </w:r>
    </w:p>
    <w:p>
      <w:pPr>
        <w:pStyle w:val="BodyText"/>
        <w:spacing w:before="14"/>
        <w:ind w:left="0"/>
      </w:pPr>
    </w:p>
    <w:p>
      <w:pPr>
        <w:pStyle w:val="BodyText"/>
        <w:spacing w:line="302" w:lineRule="auto"/>
        <w:ind w:right="697"/>
      </w:pPr>
      <w:r>
        <w:rPr>
          <w:color w:val="6E6158"/>
        </w:rPr>
        <w:t>In</w:t>
      </w:r>
      <w:r>
        <w:rPr>
          <w:color w:val="6E6158"/>
          <w:spacing w:val="34"/>
        </w:rPr>
        <w:t> </w:t>
      </w:r>
      <w:r>
        <w:rPr>
          <w:color w:val="6E6158"/>
        </w:rPr>
        <w:t>addition,</w:t>
      </w:r>
      <w:r>
        <w:rPr>
          <w:color w:val="6E6158"/>
          <w:spacing w:val="34"/>
        </w:rPr>
        <w:t> </w:t>
      </w:r>
      <w:r>
        <w:rPr>
          <w:color w:val="6E6158"/>
        </w:rPr>
        <w:t>Bruna</w:t>
      </w:r>
      <w:r>
        <w:rPr>
          <w:color w:val="6E6158"/>
          <w:spacing w:val="34"/>
        </w:rPr>
        <w:t> </w:t>
      </w:r>
      <w:r>
        <w:rPr>
          <w:color w:val="6E6158"/>
        </w:rPr>
        <w:t>conducts</w:t>
      </w:r>
      <w:r>
        <w:rPr>
          <w:color w:val="6E6158"/>
          <w:spacing w:val="34"/>
        </w:rPr>
        <w:t> </w:t>
      </w:r>
      <w:r>
        <w:rPr>
          <w:color w:val="6E6158"/>
        </w:rPr>
        <w:t>training</w:t>
      </w:r>
      <w:r>
        <w:rPr>
          <w:color w:val="6E6158"/>
          <w:spacing w:val="34"/>
        </w:rPr>
        <w:t> </w:t>
      </w:r>
      <w:r>
        <w:rPr>
          <w:color w:val="6E6158"/>
        </w:rPr>
        <w:t>for</w:t>
      </w:r>
      <w:r>
        <w:rPr>
          <w:color w:val="6E6158"/>
          <w:spacing w:val="34"/>
        </w:rPr>
        <w:t> </w:t>
      </w:r>
      <w:r>
        <w:rPr>
          <w:color w:val="6E6158"/>
        </w:rPr>
        <w:t>executives,</w:t>
      </w:r>
      <w:r>
        <w:rPr>
          <w:color w:val="6E6158"/>
          <w:spacing w:val="34"/>
        </w:rPr>
        <w:t> </w:t>
      </w:r>
      <w:r>
        <w:rPr>
          <w:color w:val="6E6158"/>
        </w:rPr>
        <w:t>managers,</w:t>
      </w:r>
      <w:r>
        <w:rPr>
          <w:color w:val="6E6158"/>
          <w:spacing w:val="34"/>
        </w:rPr>
        <w:t> </w:t>
      </w:r>
      <w:r>
        <w:rPr>
          <w:color w:val="6E6158"/>
        </w:rPr>
        <w:t>and</w:t>
      </w:r>
      <w:r>
        <w:rPr>
          <w:color w:val="6E6158"/>
          <w:spacing w:val="34"/>
        </w:rPr>
        <w:t> </w:t>
      </w:r>
      <w:r>
        <w:rPr>
          <w:color w:val="6E6158"/>
        </w:rPr>
        <w:t>employees</w:t>
      </w:r>
      <w:r>
        <w:rPr>
          <w:color w:val="6E6158"/>
          <w:spacing w:val="34"/>
        </w:rPr>
        <w:t> </w:t>
      </w:r>
      <w:r>
        <w:rPr>
          <w:color w:val="6E6158"/>
        </w:rPr>
        <w:t>on</w:t>
      </w:r>
      <w:r>
        <w:rPr>
          <w:color w:val="6E6158"/>
          <w:spacing w:val="34"/>
        </w:rPr>
        <w:t> </w:t>
      </w:r>
      <w:r>
        <w:rPr>
          <w:color w:val="6E6158"/>
        </w:rPr>
        <w:t>anti-discrimination</w:t>
      </w:r>
      <w:r>
        <w:rPr>
          <w:color w:val="6E6158"/>
          <w:spacing w:val="17"/>
        </w:rPr>
        <w:t> </w:t>
      </w:r>
      <w:r>
        <w:rPr>
          <w:color w:val="6E6158"/>
        </w:rPr>
        <w:t>and</w:t>
      </w:r>
      <w:r>
        <w:rPr>
          <w:color w:val="6E6158"/>
          <w:spacing w:val="17"/>
        </w:rPr>
        <w:t> </w:t>
      </w:r>
      <w:r>
        <w:rPr>
          <w:color w:val="6E6158"/>
        </w:rPr>
        <w:t>accessibility</w:t>
      </w:r>
      <w:r>
        <w:rPr>
          <w:color w:val="6E6158"/>
          <w:spacing w:val="17"/>
        </w:rPr>
        <w:t> </w:t>
      </w:r>
      <w:r>
        <w:rPr>
          <w:color w:val="6E6158"/>
        </w:rPr>
        <w:t>laws,</w:t>
      </w:r>
      <w:r>
        <w:rPr>
          <w:color w:val="6E6158"/>
          <w:spacing w:val="17"/>
        </w:rPr>
        <w:t> </w:t>
      </w:r>
      <w:r>
        <w:rPr>
          <w:color w:val="6E6158"/>
        </w:rPr>
        <w:t>as</w:t>
      </w:r>
      <w:r>
        <w:rPr>
          <w:color w:val="6E6158"/>
          <w:spacing w:val="17"/>
        </w:rPr>
        <w:t> </w:t>
      </w:r>
      <w:r>
        <w:rPr>
          <w:color w:val="6E6158"/>
        </w:rPr>
        <w:t>well</w:t>
      </w:r>
      <w:r>
        <w:rPr>
          <w:color w:val="6E6158"/>
          <w:spacing w:val="17"/>
        </w:rPr>
        <w:t> </w:t>
      </w:r>
      <w:r>
        <w:rPr>
          <w:color w:val="6E6158"/>
        </w:rPr>
        <w:t>as</w:t>
      </w:r>
      <w:r>
        <w:rPr>
          <w:color w:val="6E6158"/>
          <w:spacing w:val="17"/>
        </w:rPr>
        <w:t> </w:t>
      </w:r>
      <w:r>
        <w:rPr>
          <w:color w:val="6E6158"/>
        </w:rPr>
        <w:t>workplace</w:t>
      </w:r>
      <w:r>
        <w:rPr>
          <w:color w:val="6E6158"/>
          <w:spacing w:val="17"/>
        </w:rPr>
        <w:t> </w:t>
      </w:r>
      <w:r>
        <w:rPr>
          <w:color w:val="6E6158"/>
        </w:rPr>
        <w:t>diversity</w:t>
      </w:r>
      <w:r>
        <w:rPr>
          <w:color w:val="6E6158"/>
          <w:spacing w:val="17"/>
        </w:rPr>
        <w:t> </w:t>
      </w:r>
      <w:r>
        <w:rPr>
          <w:color w:val="6E6158"/>
        </w:rPr>
        <w:t>and</w:t>
      </w:r>
      <w:r>
        <w:rPr>
          <w:color w:val="6E6158"/>
          <w:spacing w:val="17"/>
        </w:rPr>
        <w:t> </w:t>
      </w:r>
      <w:r>
        <w:rPr>
          <w:color w:val="6E6158"/>
        </w:rPr>
        <w:t>inclusion</w:t>
      </w:r>
      <w:r>
        <w:rPr>
          <w:color w:val="6E6158"/>
          <w:spacing w:val="17"/>
        </w:rPr>
        <w:t> </w:t>
      </w:r>
      <w:r>
        <w:rPr>
          <w:color w:val="6E6158"/>
        </w:rPr>
        <w:t>strategies.</w:t>
      </w:r>
    </w:p>
    <w:p>
      <w:pPr>
        <w:pStyle w:val="BodyText"/>
        <w:spacing w:before="186"/>
      </w:pPr>
      <w:r>
        <w:rPr>
          <w:color w:val="6E6158"/>
        </w:rPr>
        <w:t>Bruna</w:t>
      </w:r>
      <w:r>
        <w:rPr>
          <w:color w:val="6E6158"/>
          <w:spacing w:val="14"/>
        </w:rPr>
        <w:t> </w:t>
      </w:r>
      <w:r>
        <w:rPr>
          <w:color w:val="6E6158"/>
        </w:rPr>
        <w:t>is</w:t>
      </w:r>
      <w:r>
        <w:rPr>
          <w:color w:val="6E6158"/>
          <w:spacing w:val="14"/>
        </w:rPr>
        <w:t> </w:t>
      </w:r>
      <w:r>
        <w:rPr>
          <w:color w:val="6E6158"/>
        </w:rPr>
        <w:t>skilled</w:t>
      </w:r>
      <w:r>
        <w:rPr>
          <w:color w:val="6E6158"/>
          <w:spacing w:val="15"/>
        </w:rPr>
        <w:t> </w:t>
      </w:r>
      <w:r>
        <w:rPr>
          <w:color w:val="6E6158"/>
        </w:rPr>
        <w:t>in</w:t>
      </w:r>
      <w:r>
        <w:rPr>
          <w:color w:val="6E6158"/>
          <w:spacing w:val="14"/>
        </w:rPr>
        <w:t> </w:t>
      </w:r>
      <w:r>
        <w:rPr>
          <w:color w:val="6E6158"/>
        </w:rPr>
        <w:t>Alternative</w:t>
      </w:r>
      <w:r>
        <w:rPr>
          <w:color w:val="6E6158"/>
          <w:spacing w:val="14"/>
        </w:rPr>
        <w:t> </w:t>
      </w:r>
      <w:r>
        <w:rPr>
          <w:color w:val="6E6158"/>
        </w:rPr>
        <w:t>Dispute</w:t>
      </w:r>
      <w:r>
        <w:rPr>
          <w:color w:val="6E6158"/>
          <w:spacing w:val="15"/>
        </w:rPr>
        <w:t> </w:t>
      </w:r>
      <w:r>
        <w:rPr>
          <w:color w:val="6E6158"/>
        </w:rPr>
        <w:t>Resolution</w:t>
      </w:r>
      <w:r>
        <w:rPr>
          <w:color w:val="6E6158"/>
          <w:spacing w:val="14"/>
        </w:rPr>
        <w:t> </w:t>
      </w:r>
      <w:r>
        <w:rPr>
          <w:color w:val="6E6158"/>
        </w:rPr>
        <w:t>(ADR)</w:t>
      </w:r>
      <w:r>
        <w:rPr>
          <w:color w:val="6E6158"/>
          <w:spacing w:val="14"/>
        </w:rPr>
        <w:t> </w:t>
      </w:r>
      <w:r>
        <w:rPr>
          <w:color w:val="6E6158"/>
        </w:rPr>
        <w:t>methods,</w:t>
      </w:r>
      <w:r>
        <w:rPr>
          <w:color w:val="6E6158"/>
          <w:spacing w:val="15"/>
        </w:rPr>
        <w:t> </w:t>
      </w:r>
      <w:r>
        <w:rPr>
          <w:color w:val="6E6158"/>
        </w:rPr>
        <w:t>including</w:t>
      </w:r>
      <w:r>
        <w:rPr>
          <w:color w:val="6E6158"/>
          <w:spacing w:val="14"/>
        </w:rPr>
        <w:t> </w:t>
      </w:r>
      <w:r>
        <w:rPr>
          <w:color w:val="6E6158"/>
        </w:rPr>
        <w:t>mediation</w:t>
      </w:r>
      <w:r>
        <w:rPr>
          <w:color w:val="6E6158"/>
          <w:spacing w:val="14"/>
        </w:rPr>
        <w:t> </w:t>
      </w:r>
      <w:r>
        <w:rPr>
          <w:color w:val="6E6158"/>
          <w:spacing w:val="-5"/>
        </w:rPr>
        <w:t>and</w:t>
      </w:r>
    </w:p>
    <w:p>
      <w:pPr>
        <w:pStyle w:val="BodyText"/>
        <w:spacing w:line="297" w:lineRule="auto" w:before="52"/>
        <w:ind w:right="697"/>
      </w:pPr>
      <w:r>
        <w:rPr>
          <w:color w:val="6E6158"/>
        </w:rPr>
        <w:t>arbitration, helping clients resolve conflicts efficiently while minimizing costs and </w:t>
      </w:r>
      <w:r>
        <w:rPr>
          <w:color w:val="6E6158"/>
        </w:rPr>
        <w:t>preserving</w:t>
      </w:r>
      <w:r>
        <w:rPr>
          <w:color w:val="6E6158"/>
          <w:spacing w:val="40"/>
        </w:rPr>
        <w:t> </w:t>
      </w:r>
      <w:r>
        <w:rPr>
          <w:color w:val="6E6158"/>
        </w:rPr>
        <w:t>relationships. Her innovative problem-solving approach helps employers and educational</w:t>
      </w:r>
      <w:r>
        <w:rPr>
          <w:color w:val="6E6158"/>
          <w:spacing w:val="40"/>
        </w:rPr>
        <w:t> </w:t>
      </w:r>
      <w:r>
        <w:rPr>
          <w:color w:val="6E6158"/>
        </w:rPr>
        <w:t>institutions create inclusive environments and address areas for improvement.</w:t>
      </w:r>
    </w:p>
    <w:p>
      <w:pPr>
        <w:pStyle w:val="BodyText"/>
        <w:spacing w:line="295" w:lineRule="auto" w:before="191"/>
      </w:pPr>
      <w:r>
        <w:rPr>
          <w:color w:val="6E6158"/>
        </w:rPr>
        <w:t>Bruna has written federal grants and administered and managed compliance with federal </w:t>
      </w:r>
      <w:r>
        <w:rPr>
          <w:color w:val="6E6158"/>
        </w:rPr>
        <w:t>grant</w:t>
      </w:r>
      <w:r>
        <w:rPr>
          <w:color w:val="6E6158"/>
          <w:spacing w:val="40"/>
        </w:rPr>
        <w:t> </w:t>
      </w:r>
      <w:r>
        <w:rPr>
          <w:color w:val="6E6158"/>
        </w:rPr>
        <w:t>standards for state and local entities and subcontractors.</w:t>
      </w:r>
      <w:r>
        <w:rPr>
          <w:color w:val="6E6158"/>
          <w:spacing w:val="80"/>
        </w:rPr>
        <w:t> </w:t>
      </w:r>
      <w:r>
        <w:rPr>
          <w:color w:val="6E6158"/>
        </w:rPr>
        <w:t>In her role as counsel for public and private educational institutions she handles relocation support and stipend payments.</w:t>
      </w:r>
      <w:r>
        <w:rPr>
          <w:color w:val="6E6158"/>
          <w:spacing w:val="80"/>
        </w:rPr>
        <w:t> </w:t>
      </w:r>
      <w:r>
        <w:rPr>
          <w:color w:val="6E6158"/>
        </w:rPr>
        <w:t>She also advises</w:t>
      </w:r>
      <w:r>
        <w:rPr>
          <w:color w:val="6E6158"/>
          <w:spacing w:val="30"/>
        </w:rPr>
        <w:t> </w:t>
      </w:r>
      <w:r>
        <w:rPr>
          <w:color w:val="6E6158"/>
        </w:rPr>
        <w:t>in</w:t>
      </w:r>
      <w:r>
        <w:rPr>
          <w:color w:val="6E6158"/>
          <w:spacing w:val="30"/>
        </w:rPr>
        <w:t> </w:t>
      </w:r>
      <w:r>
        <w:rPr>
          <w:color w:val="6E6158"/>
        </w:rPr>
        <w:t>contract</w:t>
      </w:r>
      <w:r>
        <w:rPr>
          <w:color w:val="6E6158"/>
          <w:spacing w:val="30"/>
        </w:rPr>
        <w:t> </w:t>
      </w:r>
      <w:r>
        <w:rPr>
          <w:color w:val="6E6158"/>
        </w:rPr>
        <w:t>and</w:t>
      </w:r>
      <w:r>
        <w:rPr>
          <w:color w:val="6E6158"/>
          <w:spacing w:val="30"/>
        </w:rPr>
        <w:t> </w:t>
      </w:r>
      <w:r>
        <w:rPr>
          <w:color w:val="6E6158"/>
        </w:rPr>
        <w:t>procurement</w:t>
      </w:r>
      <w:r>
        <w:rPr>
          <w:color w:val="6E6158"/>
          <w:spacing w:val="30"/>
        </w:rPr>
        <w:t> </w:t>
      </w:r>
      <w:r>
        <w:rPr>
          <w:color w:val="6E6158"/>
        </w:rPr>
        <w:t>issues</w:t>
      </w:r>
      <w:r>
        <w:rPr>
          <w:color w:val="6E6158"/>
          <w:spacing w:val="30"/>
        </w:rPr>
        <w:t> </w:t>
      </w:r>
      <w:r>
        <w:rPr>
          <w:color w:val="6E6158"/>
        </w:rPr>
        <w:t>related</w:t>
      </w:r>
      <w:r>
        <w:rPr>
          <w:color w:val="6E6158"/>
          <w:spacing w:val="30"/>
        </w:rPr>
        <w:t> </w:t>
      </w:r>
      <w:r>
        <w:rPr>
          <w:color w:val="6E6158"/>
        </w:rPr>
        <w:t>to</w:t>
      </w:r>
      <w:r>
        <w:rPr>
          <w:color w:val="6E6158"/>
          <w:spacing w:val="30"/>
        </w:rPr>
        <w:t> </w:t>
      </w:r>
      <w:r>
        <w:rPr>
          <w:color w:val="6E6158"/>
        </w:rPr>
        <w:t>the</w:t>
      </w:r>
      <w:r>
        <w:rPr>
          <w:color w:val="6E6158"/>
          <w:spacing w:val="30"/>
        </w:rPr>
        <w:t> </w:t>
      </w:r>
      <w:r>
        <w:rPr>
          <w:color w:val="6E6158"/>
        </w:rPr>
        <w:t>granting</w:t>
      </w:r>
      <w:r>
        <w:rPr>
          <w:color w:val="6E6158"/>
          <w:spacing w:val="30"/>
        </w:rPr>
        <w:t> </w:t>
      </w:r>
      <w:r>
        <w:rPr>
          <w:color w:val="6E6158"/>
        </w:rPr>
        <w:t>and</w:t>
      </w:r>
      <w:r>
        <w:rPr>
          <w:color w:val="6E6158"/>
          <w:spacing w:val="30"/>
        </w:rPr>
        <w:t> </w:t>
      </w:r>
      <w:r>
        <w:rPr>
          <w:color w:val="6E6158"/>
        </w:rPr>
        <w:t>disbursement</w:t>
      </w:r>
      <w:r>
        <w:rPr>
          <w:color w:val="6E6158"/>
          <w:spacing w:val="30"/>
        </w:rPr>
        <w:t> </w:t>
      </w:r>
      <w:r>
        <w:rPr>
          <w:color w:val="6E6158"/>
        </w:rPr>
        <w:t>of</w:t>
      </w:r>
      <w:r>
        <w:rPr>
          <w:color w:val="6E6158"/>
          <w:spacing w:val="30"/>
        </w:rPr>
        <w:t> </w:t>
      </w:r>
      <w:r>
        <w:rPr>
          <w:color w:val="6E6158"/>
        </w:rPr>
        <w:t>funds and reporting requirements related to federal grant implementation.</w:t>
      </w:r>
    </w:p>
    <w:p>
      <w:pPr>
        <w:pStyle w:val="BodyText"/>
        <w:spacing w:line="297" w:lineRule="auto" w:before="195"/>
        <w:ind w:right="348"/>
      </w:pPr>
      <w:r>
        <w:rPr>
          <w:color w:val="6E6158"/>
        </w:rPr>
        <w:t>Previously, Bruna served as Chief Counsel of the Civil Rights and Conflict Resolution Section for</w:t>
      </w:r>
      <w:r>
        <w:rPr>
          <w:color w:val="6E6158"/>
          <w:spacing w:val="80"/>
        </w:rPr>
        <w:t> </w:t>
      </w:r>
      <w:r>
        <w:rPr>
          <w:color w:val="6E6158"/>
        </w:rPr>
        <w:t>the Arizona Attorney General’s Office and was a Visiting Professor at the Sandra Day O’Connor</w:t>
      </w:r>
      <w:r>
        <w:rPr>
          <w:color w:val="6E6158"/>
          <w:spacing w:val="40"/>
        </w:rPr>
        <w:t> </w:t>
      </w:r>
      <w:r>
        <w:rPr>
          <w:color w:val="6E6158"/>
        </w:rPr>
        <w:t>College of Law.</w:t>
      </w:r>
    </w:p>
    <w:p>
      <w:pPr>
        <w:pStyle w:val="Heading1"/>
        <w:spacing w:before="158"/>
      </w:pPr>
      <w:r>
        <w:rPr>
          <w:color w:val="FF8100"/>
          <w:spacing w:val="-2"/>
        </w:rPr>
        <w:t>EDUCATION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</w:pPr>
      <w:r>
        <w:rPr>
          <w:color w:val="6E6158"/>
        </w:rPr>
        <w:t>J.D.</w:t>
      </w:r>
      <w:r>
        <w:rPr>
          <w:color w:val="6E6158"/>
          <w:spacing w:val="11"/>
        </w:rPr>
        <w:t> </w:t>
      </w:r>
      <w:r>
        <w:rPr>
          <w:color w:val="6E6158"/>
        </w:rPr>
        <w:t>University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2"/>
        </w:rPr>
        <w:t> </w:t>
      </w:r>
      <w:r>
        <w:rPr>
          <w:color w:val="6E6158"/>
        </w:rPr>
        <w:t>Minnesota</w:t>
      </w:r>
      <w:r>
        <w:rPr>
          <w:color w:val="6E6158"/>
          <w:spacing w:val="12"/>
        </w:rPr>
        <w:t> </w:t>
      </w:r>
      <w:r>
        <w:rPr>
          <w:color w:val="6E6158"/>
        </w:rPr>
        <w:t>Law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School</w:t>
      </w:r>
    </w:p>
    <w:p>
      <w:pPr>
        <w:spacing w:before="140"/>
        <w:ind w:left="343" w:right="0" w:firstLine="0"/>
        <w:jc w:val="left"/>
        <w:rPr>
          <w:sz w:val="19"/>
        </w:rPr>
      </w:pPr>
      <w:r>
        <w:rPr>
          <w:color w:val="6E6158"/>
          <w:sz w:val="19"/>
        </w:rPr>
        <w:t>Associate</w:t>
      </w:r>
      <w:r>
        <w:rPr>
          <w:color w:val="6E6158"/>
          <w:spacing w:val="-9"/>
          <w:sz w:val="19"/>
        </w:rPr>
        <w:t> </w:t>
      </w:r>
      <w:r>
        <w:rPr>
          <w:color w:val="6E6158"/>
          <w:sz w:val="19"/>
        </w:rPr>
        <w:t>Editor,</w:t>
      </w:r>
      <w:r>
        <w:rPr>
          <w:color w:val="6E6158"/>
          <w:spacing w:val="-8"/>
          <w:sz w:val="19"/>
        </w:rPr>
        <w:t> </w:t>
      </w:r>
      <w:r>
        <w:rPr>
          <w:i/>
          <w:color w:val="6E6158"/>
          <w:sz w:val="20"/>
        </w:rPr>
        <w:t>Minnesota</w:t>
      </w:r>
      <w:r>
        <w:rPr>
          <w:i/>
          <w:color w:val="6E6158"/>
          <w:spacing w:val="-12"/>
          <w:sz w:val="20"/>
        </w:rPr>
        <w:t> </w:t>
      </w:r>
      <w:r>
        <w:rPr>
          <w:i/>
          <w:color w:val="6E6158"/>
          <w:sz w:val="20"/>
        </w:rPr>
        <w:t>Law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z w:val="20"/>
        </w:rPr>
        <w:t>Review,</w:t>
      </w:r>
      <w:r>
        <w:rPr>
          <w:i/>
          <w:color w:val="6E6158"/>
          <w:spacing w:val="-11"/>
          <w:sz w:val="20"/>
        </w:rPr>
        <w:t> </w:t>
      </w:r>
      <w:r>
        <w:rPr>
          <w:color w:val="6E6158"/>
          <w:sz w:val="19"/>
        </w:rPr>
        <w:t>1984-</w:t>
      </w:r>
      <w:r>
        <w:rPr>
          <w:color w:val="6E6158"/>
          <w:spacing w:val="-4"/>
          <w:sz w:val="19"/>
        </w:rPr>
        <w:t>1987</w:t>
      </w:r>
    </w:p>
    <w:p>
      <w:pPr>
        <w:spacing w:after="0"/>
        <w:jc w:val="left"/>
        <w:rPr>
          <w:sz w:val="19"/>
        </w:rPr>
        <w:sectPr>
          <w:type w:val="continuous"/>
          <w:pgSz w:w="12240" w:h="15840"/>
          <w:pgMar w:top="560" w:bottom="280" w:left="1440" w:right="1440"/>
        </w:sectPr>
      </w:pPr>
    </w:p>
    <w:p>
      <w:pPr>
        <w:pStyle w:val="BodyText"/>
        <w:spacing w:before="83"/>
      </w:pPr>
      <w:r>
        <w:rPr>
          <w:color w:val="6E6158"/>
        </w:rPr>
        <w:t>M.A.</w:t>
      </w:r>
      <w:r>
        <w:rPr>
          <w:color w:val="6E6158"/>
          <w:spacing w:val="12"/>
        </w:rPr>
        <w:t> </w:t>
      </w:r>
      <w:r>
        <w:rPr>
          <w:color w:val="6E6158"/>
        </w:rPr>
        <w:t>University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3"/>
        </w:rPr>
        <w:t> </w:t>
      </w:r>
      <w:r>
        <w:rPr>
          <w:color w:val="6E6158"/>
        </w:rPr>
        <w:t>California,</w:t>
      </w:r>
      <w:r>
        <w:rPr>
          <w:color w:val="6E6158"/>
          <w:spacing w:val="12"/>
        </w:rPr>
        <w:t> </w:t>
      </w:r>
      <w:r>
        <w:rPr>
          <w:color w:val="6E6158"/>
        </w:rPr>
        <w:t>Los</w:t>
      </w:r>
      <w:r>
        <w:rPr>
          <w:color w:val="6E6158"/>
          <w:spacing w:val="13"/>
        </w:rPr>
        <w:t> </w:t>
      </w:r>
      <w:r>
        <w:rPr>
          <w:color w:val="6E6158"/>
          <w:spacing w:val="-2"/>
        </w:rPr>
        <w:t>Angeles</w:t>
      </w:r>
    </w:p>
    <w:p>
      <w:pPr>
        <w:pStyle w:val="BodyText"/>
        <w:spacing w:before="174"/>
      </w:pPr>
      <w:r>
        <w:rPr>
          <w:color w:val="6E6158"/>
        </w:rPr>
        <w:t>B.A.</w:t>
      </w:r>
      <w:r>
        <w:rPr>
          <w:color w:val="6E6158"/>
          <w:spacing w:val="10"/>
        </w:rPr>
        <w:t> </w:t>
      </w:r>
      <w:r>
        <w:rPr>
          <w:color w:val="6E6158"/>
        </w:rPr>
        <w:t>University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  <w:spacing w:val="-4"/>
        </w:rPr>
        <w:t>Iowa</w:t>
      </w:r>
    </w:p>
    <w:p>
      <w:pPr>
        <w:pStyle w:val="BodyText"/>
        <w:spacing w:before="171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AREAS</w:t>
      </w:r>
      <w:r>
        <w:rPr>
          <w:color w:val="FF8100"/>
          <w:spacing w:val="6"/>
        </w:rPr>
        <w:t> </w:t>
      </w:r>
      <w:r>
        <w:rPr>
          <w:color w:val="FF8100"/>
        </w:rPr>
        <w:t>OF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PRACTICE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</w:pPr>
      <w:r>
        <w:rPr>
          <w:color w:val="6E6158"/>
          <w:spacing w:val="-2"/>
        </w:rPr>
        <w:t>Education</w:t>
      </w:r>
    </w:p>
    <w:p>
      <w:pPr>
        <w:pStyle w:val="BodyText"/>
        <w:spacing w:line="420" w:lineRule="auto" w:before="174"/>
        <w:ind w:right="6940"/>
      </w:pPr>
      <w:r>
        <w:rPr>
          <w:color w:val="6E6158"/>
        </w:rPr>
        <w:t>Labor &amp; </w:t>
      </w:r>
      <w:r>
        <w:rPr>
          <w:color w:val="6E6158"/>
        </w:rPr>
        <w:t>Employment Real Estate</w:t>
      </w:r>
    </w:p>
    <w:p>
      <w:pPr>
        <w:pStyle w:val="BodyText"/>
        <w:spacing w:line="231" w:lineRule="exact"/>
      </w:pPr>
      <w:r>
        <w:rPr>
          <w:color w:val="6E6158"/>
        </w:rPr>
        <w:t>ADA</w:t>
      </w:r>
      <w:r>
        <w:rPr>
          <w:color w:val="6E6158"/>
          <w:spacing w:val="8"/>
        </w:rPr>
        <w:t> </w:t>
      </w:r>
      <w:r>
        <w:rPr>
          <w:color w:val="6E6158"/>
        </w:rPr>
        <w:t>and</w:t>
      </w:r>
      <w:r>
        <w:rPr>
          <w:color w:val="6E6158"/>
          <w:spacing w:val="9"/>
        </w:rPr>
        <w:t> </w:t>
      </w:r>
      <w:r>
        <w:rPr>
          <w:color w:val="6E6158"/>
          <w:spacing w:val="-2"/>
        </w:rPr>
        <w:t>Accessibility</w:t>
      </w:r>
    </w:p>
    <w:p>
      <w:pPr>
        <w:pStyle w:val="BodyText"/>
        <w:spacing w:before="171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pStyle w:val="BodyText"/>
        <w:spacing w:before="253"/>
      </w:pPr>
      <w:r>
        <w:rPr>
          <w:color w:val="6E6158"/>
        </w:rPr>
        <w:t>AV</w:t>
      </w:r>
      <w:r>
        <w:rPr>
          <w:color w:val="6E6158"/>
          <w:position w:val="7"/>
          <w:sz w:val="16"/>
        </w:rPr>
        <w:t>®</w:t>
      </w:r>
      <w:r>
        <w:rPr>
          <w:color w:val="6E6158"/>
          <w:spacing w:val="20"/>
          <w:position w:val="7"/>
          <w:sz w:val="16"/>
        </w:rPr>
        <w:t> </w:t>
      </w:r>
      <w:r>
        <w:rPr>
          <w:color w:val="6E6158"/>
        </w:rPr>
        <w:t>Preeminent™</w:t>
      </w:r>
      <w:r>
        <w:rPr>
          <w:color w:val="6E6158"/>
          <w:spacing w:val="13"/>
        </w:rPr>
        <w:t> </w:t>
      </w:r>
      <w:r>
        <w:rPr>
          <w:color w:val="6E6158"/>
        </w:rPr>
        <w:t>Peer</w:t>
      </w:r>
      <w:r>
        <w:rPr>
          <w:color w:val="6E6158"/>
          <w:spacing w:val="12"/>
        </w:rPr>
        <w:t> </w:t>
      </w:r>
      <w:r>
        <w:rPr>
          <w:color w:val="6E6158"/>
        </w:rPr>
        <w:t>Review</w:t>
      </w:r>
      <w:r>
        <w:rPr>
          <w:color w:val="6E6158"/>
          <w:spacing w:val="13"/>
        </w:rPr>
        <w:t> </w:t>
      </w:r>
      <w:r>
        <w:rPr>
          <w:color w:val="6E6158"/>
        </w:rPr>
        <w:t>Rated</w:t>
      </w:r>
      <w:r>
        <w:rPr>
          <w:color w:val="6E6158"/>
          <w:spacing w:val="13"/>
        </w:rPr>
        <w:t> </w:t>
      </w:r>
      <w:r>
        <w:rPr>
          <w:color w:val="6E6158"/>
        </w:rPr>
        <w:t>(the</w:t>
      </w:r>
      <w:r>
        <w:rPr>
          <w:color w:val="6E6158"/>
          <w:spacing w:val="12"/>
        </w:rPr>
        <w:t> </w:t>
      </w:r>
      <w:r>
        <w:rPr>
          <w:color w:val="6E6158"/>
        </w:rPr>
        <w:t>highest</w:t>
      </w:r>
      <w:r>
        <w:rPr>
          <w:color w:val="6E6158"/>
          <w:spacing w:val="13"/>
        </w:rPr>
        <w:t> </w:t>
      </w:r>
      <w:r>
        <w:rPr>
          <w:color w:val="6E6158"/>
        </w:rPr>
        <w:t>rating</w:t>
      </w:r>
      <w:r>
        <w:rPr>
          <w:color w:val="6E6158"/>
          <w:spacing w:val="13"/>
        </w:rPr>
        <w:t> </w:t>
      </w:r>
      <w:r>
        <w:rPr>
          <w:color w:val="6E6158"/>
        </w:rPr>
        <w:t>available),</w:t>
      </w:r>
      <w:r>
        <w:rPr>
          <w:color w:val="6E6158"/>
          <w:spacing w:val="12"/>
        </w:rPr>
        <w:t> </w:t>
      </w:r>
      <w:r>
        <w:rPr>
          <w:color w:val="6E6158"/>
        </w:rPr>
        <w:t>by</w:t>
      </w:r>
      <w:r>
        <w:rPr>
          <w:color w:val="6E6158"/>
          <w:spacing w:val="13"/>
        </w:rPr>
        <w:t> </w:t>
      </w:r>
      <w:r>
        <w:rPr>
          <w:color w:val="6E6158"/>
        </w:rPr>
        <w:t>Martindale-</w:t>
      </w:r>
      <w:r>
        <w:rPr>
          <w:color w:val="6E6158"/>
          <w:spacing w:val="-2"/>
        </w:rPr>
        <w:t>Hubbell</w:t>
      </w:r>
    </w:p>
    <w:p>
      <w:pPr>
        <w:spacing w:line="398" w:lineRule="auto" w:before="167"/>
        <w:ind w:left="99" w:right="2948" w:firstLine="0"/>
        <w:jc w:val="left"/>
        <w:rPr>
          <w:sz w:val="19"/>
        </w:rPr>
      </w:pPr>
      <w:r>
        <w:rPr>
          <w:i/>
          <w:color w:val="6E6158"/>
          <w:sz w:val="20"/>
        </w:rPr>
        <w:t>Best</w:t>
      </w:r>
      <w:r>
        <w:rPr>
          <w:i/>
          <w:color w:val="6E6158"/>
          <w:spacing w:val="-1"/>
          <w:sz w:val="20"/>
        </w:rPr>
        <w:t> </w:t>
      </w:r>
      <w:r>
        <w:rPr>
          <w:i/>
          <w:color w:val="6E6158"/>
          <w:sz w:val="20"/>
        </w:rPr>
        <w:t>Lawyers</w:t>
      </w:r>
      <w:r>
        <w:rPr>
          <w:i/>
          <w:color w:val="6E6158"/>
          <w:spacing w:val="-1"/>
          <w:sz w:val="20"/>
        </w:rPr>
        <w:t> </w:t>
      </w:r>
      <w:r>
        <w:rPr>
          <w:i/>
          <w:color w:val="6E6158"/>
          <w:sz w:val="20"/>
        </w:rPr>
        <w:t>in</w:t>
      </w:r>
      <w:r>
        <w:rPr>
          <w:i/>
          <w:color w:val="6E6158"/>
          <w:spacing w:val="-1"/>
          <w:sz w:val="20"/>
        </w:rPr>
        <w:t> </w:t>
      </w:r>
      <w:r>
        <w:rPr>
          <w:i/>
          <w:color w:val="6E6158"/>
          <w:sz w:val="20"/>
        </w:rPr>
        <w:t>America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</w:t>
      </w:r>
      <w:r>
        <w:rPr>
          <w:i/>
          <w:color w:val="6E6158"/>
          <w:spacing w:val="-1"/>
          <w:sz w:val="20"/>
        </w:rPr>
        <w:t> </w:t>
      </w:r>
      <w:r>
        <w:rPr>
          <w:color w:val="6E6158"/>
          <w:sz w:val="19"/>
        </w:rPr>
        <w:t>Labor Law – Management, 2025-</w:t>
      </w:r>
      <w:r>
        <w:rPr>
          <w:color w:val="6E6158"/>
          <w:sz w:val="19"/>
        </w:rPr>
        <w:t>2027 Top Lawyer – Education, </w:t>
      </w:r>
      <w:r>
        <w:rPr>
          <w:i/>
          <w:color w:val="6E6158"/>
          <w:sz w:val="20"/>
        </w:rPr>
        <w:t>Phoenix Magazine</w:t>
      </w:r>
      <w:r>
        <w:rPr>
          <w:color w:val="6E6158"/>
          <w:sz w:val="19"/>
        </w:rPr>
        <w:t>, 2026</w:t>
      </w:r>
    </w:p>
    <w:p>
      <w:pPr>
        <w:pStyle w:val="BodyText"/>
        <w:spacing w:before="7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292" w:lineRule="auto"/>
      </w:pPr>
      <w:r>
        <w:rPr>
          <w:color w:val="6E6158"/>
        </w:rPr>
        <w:t>Author, “</w:t>
      </w:r>
      <w:hyperlink r:id="rId11">
        <w:r>
          <w:rPr>
            <w:color w:val="F5821F"/>
          </w:rPr>
          <w:t>Inclusion, Parental Rights, and Choice: Classroom Lessons in Pluralism</w:t>
        </w:r>
      </w:hyperlink>
      <w:r>
        <w:rPr>
          <w:color w:val="6E6158"/>
        </w:rPr>
        <w:t>,” Fennemore </w:t>
      </w:r>
      <w:r>
        <w:rPr>
          <w:color w:val="6E6158"/>
        </w:rPr>
        <w:t>Blog, August 18, 2025</w:t>
      </w:r>
    </w:p>
    <w:p>
      <w:pPr>
        <w:pStyle w:val="BodyText"/>
        <w:spacing w:line="292" w:lineRule="auto" w:before="124"/>
      </w:pPr>
      <w:r>
        <w:rPr>
          <w:color w:val="6E6158"/>
        </w:rPr>
        <w:t>Co-Author, “</w:t>
      </w:r>
      <w:hyperlink r:id="rId12">
        <w:r>
          <w:rPr>
            <w:color w:val="F5821F"/>
          </w:rPr>
          <w:t>Update: U.S. Department of Education Final TITLE IX Regulations Effective August 1</w:t>
        </w:r>
      </w:hyperlink>
      <w:r>
        <w:rPr>
          <w:color w:val="F5821F"/>
          <w:spacing w:val="40"/>
        </w:rPr>
        <w:t> </w:t>
      </w:r>
      <w:hyperlink r:id="rId12">
        <w:r>
          <w:rPr>
            <w:color w:val="F5821F"/>
          </w:rPr>
          <w:t>Increase</w:t>
        </w:r>
        <w:r>
          <w:rPr>
            <w:color w:val="F5821F"/>
            <w:spacing w:val="40"/>
          </w:rPr>
          <w:t> </w:t>
        </w:r>
        <w:r>
          <w:rPr>
            <w:color w:val="F5821F"/>
          </w:rPr>
          <w:t>Scope</w:t>
        </w:r>
        <w:r>
          <w:rPr>
            <w:color w:val="F5821F"/>
            <w:spacing w:val="40"/>
          </w:rPr>
          <w:t> </w:t>
        </w:r>
        <w:r>
          <w:rPr>
            <w:color w:val="F5821F"/>
          </w:rPr>
          <w:t>Against</w:t>
        </w:r>
        <w:r>
          <w:rPr>
            <w:color w:val="F5821F"/>
            <w:spacing w:val="40"/>
          </w:rPr>
          <w:t> </w:t>
        </w:r>
        <w:r>
          <w:rPr>
            <w:color w:val="F5821F"/>
          </w:rPr>
          <w:t>Sex</w:t>
        </w:r>
        <w:r>
          <w:rPr>
            <w:color w:val="F5821F"/>
            <w:spacing w:val="40"/>
          </w:rPr>
          <w:t> </w:t>
        </w:r>
        <w:r>
          <w:rPr>
            <w:color w:val="F5821F"/>
          </w:rPr>
          <w:t>Discrimination</w:t>
        </w:r>
      </w:hyperlink>
      <w:r>
        <w:rPr>
          <w:color w:val="6E6158"/>
        </w:rPr>
        <w:t>,”</w:t>
      </w:r>
      <w:r>
        <w:rPr>
          <w:color w:val="6E6158"/>
          <w:spacing w:val="40"/>
        </w:rPr>
        <w:t> </w:t>
      </w:r>
      <w:r>
        <w:rPr>
          <w:color w:val="6E6158"/>
        </w:rPr>
        <w:t>Fennemore</w:t>
      </w:r>
      <w:r>
        <w:rPr>
          <w:color w:val="6E6158"/>
          <w:spacing w:val="40"/>
        </w:rPr>
        <w:t> </w:t>
      </w:r>
      <w:r>
        <w:rPr>
          <w:color w:val="6E6158"/>
        </w:rPr>
        <w:t>Blog,</w:t>
      </w:r>
      <w:r>
        <w:rPr>
          <w:color w:val="6E6158"/>
          <w:spacing w:val="40"/>
        </w:rPr>
        <w:t> </w:t>
      </w:r>
      <w:r>
        <w:rPr>
          <w:color w:val="6E6158"/>
        </w:rPr>
        <w:t>September</w:t>
      </w:r>
      <w:r>
        <w:rPr>
          <w:color w:val="6E6158"/>
          <w:spacing w:val="40"/>
        </w:rPr>
        <w:t> </w:t>
      </w:r>
      <w:r>
        <w:rPr>
          <w:color w:val="6E6158"/>
        </w:rPr>
        <w:t>11,</w:t>
      </w:r>
      <w:r>
        <w:rPr>
          <w:color w:val="6E6158"/>
          <w:spacing w:val="40"/>
        </w:rPr>
        <w:t> </w:t>
      </w:r>
      <w:r>
        <w:rPr>
          <w:color w:val="6E6158"/>
        </w:rPr>
        <w:t>2024</w:t>
      </w:r>
    </w:p>
    <w:p>
      <w:pPr>
        <w:pStyle w:val="BodyText"/>
        <w:spacing w:line="292" w:lineRule="auto" w:before="131"/>
        <w:ind w:right="378"/>
        <w:jc w:val="both"/>
      </w:pPr>
      <w:r>
        <w:rPr>
          <w:color w:val="6E6158"/>
        </w:rPr>
        <w:t>Co-Author, “</w:t>
      </w:r>
      <w:hyperlink r:id="rId13">
        <w:r>
          <w:rPr>
            <w:color w:val="F5821F"/>
          </w:rPr>
          <w:t>Update: U.S. Department of Education Final TITLE IX Regulations Effective August 1</w:t>
        </w:r>
      </w:hyperlink>
      <w:r>
        <w:rPr>
          <w:color w:val="F5821F"/>
        </w:rPr>
        <w:t> </w:t>
      </w:r>
      <w:hyperlink r:id="rId13">
        <w:r>
          <w:rPr>
            <w:color w:val="F5821F"/>
          </w:rPr>
          <w:t>Increase Scope Against Sex Discrimination, Key Facts About TITLE IX Training</w:t>
        </w:r>
      </w:hyperlink>
      <w:r>
        <w:rPr>
          <w:color w:val="6E6158"/>
        </w:rPr>
        <w:t>,” Fennemore </w:t>
      </w:r>
      <w:r>
        <w:rPr>
          <w:color w:val="6E6158"/>
        </w:rPr>
        <w:t>Blog, September 11, 2024</w:t>
      </w:r>
    </w:p>
    <w:p>
      <w:pPr>
        <w:pStyle w:val="BodyText"/>
        <w:spacing w:before="132"/>
        <w:jc w:val="both"/>
      </w:pPr>
      <w:hyperlink r:id="rId14">
        <w:r>
          <w:rPr>
            <w:color w:val="F5821F"/>
          </w:rPr>
          <w:t>Featuring,</w:t>
        </w:r>
        <w:r>
          <w:rPr>
            <w:color w:val="F5821F"/>
            <w:spacing w:val="15"/>
          </w:rPr>
          <w:t> </w:t>
        </w:r>
        <w:r>
          <w:rPr>
            <w:color w:val="F5821F"/>
          </w:rPr>
          <w:t>“Thursday</w:t>
        </w:r>
        <w:r>
          <w:rPr>
            <w:color w:val="F5821F"/>
            <w:spacing w:val="16"/>
          </w:rPr>
          <w:t> </w:t>
        </w:r>
        <w:r>
          <w:rPr>
            <w:color w:val="F5821F"/>
          </w:rPr>
          <w:t>Thoughts,”</w:t>
        </w:r>
        <w:r>
          <w:rPr>
            <w:color w:val="F5821F"/>
            <w:spacing w:val="16"/>
          </w:rPr>
          <w:t> </w:t>
        </w:r>
        <w:r>
          <w:rPr>
            <w:color w:val="F5821F"/>
          </w:rPr>
          <w:t>Fennemore</w:t>
        </w:r>
        <w:r>
          <w:rPr>
            <w:color w:val="F5821F"/>
            <w:spacing w:val="16"/>
          </w:rPr>
          <w:t> </w:t>
        </w:r>
        <w:r>
          <w:rPr>
            <w:color w:val="F5821F"/>
          </w:rPr>
          <w:t>Blog,</w:t>
        </w:r>
        <w:r>
          <w:rPr>
            <w:color w:val="F5821F"/>
            <w:spacing w:val="16"/>
          </w:rPr>
          <w:t> </w:t>
        </w:r>
        <w:r>
          <w:rPr>
            <w:color w:val="F5821F"/>
          </w:rPr>
          <w:t>October</w:t>
        </w:r>
        <w:r>
          <w:rPr>
            <w:color w:val="F5821F"/>
            <w:spacing w:val="15"/>
          </w:rPr>
          <w:t> </w:t>
        </w:r>
        <w:r>
          <w:rPr>
            <w:color w:val="F5821F"/>
          </w:rPr>
          <w:t>5,</w:t>
        </w:r>
        <w:r>
          <w:rPr>
            <w:color w:val="F5821F"/>
            <w:spacing w:val="16"/>
          </w:rPr>
          <w:t> </w:t>
        </w:r>
        <w:r>
          <w:rPr>
            <w:color w:val="F5821F"/>
            <w:spacing w:val="-4"/>
          </w:rPr>
          <w:t>2023</w:t>
        </w:r>
      </w:hyperlink>
    </w:p>
    <w:p>
      <w:pPr>
        <w:pStyle w:val="BodyText"/>
        <w:spacing w:line="292" w:lineRule="auto" w:before="174"/>
      </w:pPr>
      <w:r>
        <w:rPr>
          <w:color w:val="6E6158"/>
        </w:rPr>
        <w:t>Co-Author, “Businesses using AI in hiring could be on the hook for discrimination as EEOC cracks</w:t>
      </w:r>
      <w:r>
        <w:rPr>
          <w:color w:val="6E6158"/>
          <w:spacing w:val="40"/>
        </w:rPr>
        <w:t> </w:t>
      </w:r>
      <w:r>
        <w:rPr>
          <w:color w:val="6E6158"/>
        </w:rPr>
        <w:t>down,” inBusiness, October 1, 2023</w:t>
      </w:r>
    </w:p>
    <w:p>
      <w:pPr>
        <w:pStyle w:val="BodyText"/>
        <w:spacing w:line="302" w:lineRule="auto" w:before="123"/>
        <w:ind w:right="348"/>
      </w:pPr>
      <w:r>
        <w:rPr>
          <w:color w:val="6E6158"/>
        </w:rPr>
        <w:t>Featuring, “9th U.S. Circuit ruling: AZ students can be disciplined for certain off-campus, social</w:t>
      </w:r>
      <w:r>
        <w:rPr>
          <w:color w:val="6E6158"/>
          <w:spacing w:val="40"/>
        </w:rPr>
        <w:t> </w:t>
      </w:r>
      <w:r>
        <w:rPr>
          <w:color w:val="6E6158"/>
        </w:rPr>
        <w:t>media posts,” Arizona Capitol Times, KJZZ and AZ Central, January 13, 2023</w:t>
      </w:r>
    </w:p>
    <w:p>
      <w:pPr>
        <w:pStyle w:val="BodyText"/>
        <w:spacing w:line="292" w:lineRule="auto" w:before="113"/>
        <w:ind w:right="697"/>
      </w:pPr>
      <w:r>
        <w:rPr>
          <w:color w:val="6E6158"/>
        </w:rPr>
        <w:t>Quoted, “Self-Checkouts Often Inaccessible to Disabled Shoppers,” The Food </w:t>
      </w:r>
      <w:r>
        <w:rPr>
          <w:color w:val="6E6158"/>
        </w:rPr>
        <w:t>Institute, December 14, 2022</w:t>
      </w:r>
    </w:p>
    <w:p>
      <w:pPr>
        <w:pStyle w:val="BodyText"/>
        <w:spacing w:line="297" w:lineRule="auto" w:before="113"/>
        <w:ind w:right="697"/>
      </w:pPr>
      <w:r>
        <w:rPr>
          <w:color w:val="6E6158"/>
        </w:rPr>
        <w:t>Quoted, “Are Coronavirus Mask Exemption Cards Real? Experts Weigh In,” </w:t>
      </w:r>
      <w:r>
        <w:rPr>
          <w:i/>
          <w:color w:val="6E6158"/>
          <w:sz w:val="20"/>
        </w:rPr>
        <w:t>Best Life, </w:t>
      </w:r>
      <w:r>
        <w:rPr>
          <w:color w:val="6E6158"/>
        </w:rPr>
        <w:t>June 25, </w:t>
      </w:r>
      <w:r>
        <w:rPr>
          <w:color w:val="6E6158"/>
          <w:spacing w:val="-4"/>
        </w:rPr>
        <w:t>2020</w:t>
      </w:r>
    </w:p>
    <w:p>
      <w:pPr>
        <w:pStyle w:val="BodyText"/>
        <w:spacing w:line="292" w:lineRule="auto" w:before="117"/>
        <w:ind w:right="697"/>
      </w:pPr>
      <w:hyperlink r:id="rId15">
        <w:r>
          <w:rPr>
            <w:color w:val="FF8100"/>
          </w:rPr>
          <w:t>Co-author, “COVID-19: Health Plan Coverage For Furloughed Employees,” Fennemore </w:t>
        </w:r>
        <w:r>
          <w:rPr>
            <w:color w:val="FF8100"/>
          </w:rPr>
          <w:t>Client</w:t>
        </w:r>
      </w:hyperlink>
      <w:r>
        <w:rPr>
          <w:color w:val="FF8100"/>
        </w:rPr>
        <w:t> </w:t>
      </w:r>
      <w:hyperlink r:id="rId15">
        <w:r>
          <w:rPr>
            <w:color w:val="FF8100"/>
          </w:rPr>
          <w:t>Alert, March 26, 2020</w:t>
        </w:r>
      </w:hyperlink>
    </w:p>
    <w:p>
      <w:pPr>
        <w:pStyle w:val="BodyText"/>
        <w:spacing w:line="302" w:lineRule="auto" w:before="124"/>
      </w:pPr>
      <w:hyperlink r:id="rId16">
        <w:r>
          <w:rPr>
            <w:color w:val="FF8100"/>
          </w:rPr>
          <w:t>Co-author, “Understanding the Emergency Family Medical Leave Expansion Act and </w:t>
        </w:r>
        <w:r>
          <w:rPr>
            <w:color w:val="FF8100"/>
          </w:rPr>
          <w:t>Emergency</w:t>
        </w:r>
      </w:hyperlink>
      <w:r>
        <w:rPr>
          <w:color w:val="FF8100"/>
        </w:rPr>
        <w:t> </w:t>
      </w:r>
      <w:hyperlink r:id="rId16">
        <w:r>
          <w:rPr>
            <w:color w:val="FF8100"/>
          </w:rPr>
          <w:t>Paid</w:t>
        </w:r>
        <w:r>
          <w:rPr>
            <w:color w:val="FF8100"/>
            <w:spacing w:val="30"/>
          </w:rPr>
          <w:t> </w:t>
        </w:r>
        <w:r>
          <w:rPr>
            <w:color w:val="FF8100"/>
          </w:rPr>
          <w:t>Sick</w:t>
        </w:r>
        <w:r>
          <w:rPr>
            <w:color w:val="FF8100"/>
            <w:spacing w:val="30"/>
          </w:rPr>
          <w:t> </w:t>
        </w:r>
        <w:r>
          <w:rPr>
            <w:color w:val="FF8100"/>
          </w:rPr>
          <w:t>Leave</w:t>
        </w:r>
        <w:r>
          <w:rPr>
            <w:color w:val="FF8100"/>
            <w:spacing w:val="30"/>
          </w:rPr>
          <w:t> </w:t>
        </w:r>
        <w:r>
          <w:rPr>
            <w:color w:val="FF8100"/>
          </w:rPr>
          <w:t>in</w:t>
        </w:r>
        <w:r>
          <w:rPr>
            <w:color w:val="FF8100"/>
            <w:spacing w:val="30"/>
          </w:rPr>
          <w:t> </w:t>
        </w:r>
        <w:r>
          <w:rPr>
            <w:color w:val="FF8100"/>
          </w:rPr>
          <w:t>the</w:t>
        </w:r>
        <w:r>
          <w:rPr>
            <w:color w:val="FF8100"/>
            <w:spacing w:val="30"/>
          </w:rPr>
          <w:t> </w:t>
        </w:r>
        <w:r>
          <w:rPr>
            <w:color w:val="FF8100"/>
          </w:rPr>
          <w:t>Families</w:t>
        </w:r>
        <w:r>
          <w:rPr>
            <w:color w:val="FF8100"/>
            <w:spacing w:val="30"/>
          </w:rPr>
          <w:t> </w:t>
        </w:r>
        <w:r>
          <w:rPr>
            <w:color w:val="FF8100"/>
          </w:rPr>
          <w:t>First</w:t>
        </w:r>
        <w:r>
          <w:rPr>
            <w:color w:val="FF8100"/>
            <w:spacing w:val="30"/>
          </w:rPr>
          <w:t> </w:t>
        </w:r>
        <w:r>
          <w:rPr>
            <w:color w:val="FF8100"/>
          </w:rPr>
          <w:t>Coronavirus</w:t>
        </w:r>
        <w:r>
          <w:rPr>
            <w:color w:val="FF8100"/>
            <w:spacing w:val="30"/>
          </w:rPr>
          <w:t> </w:t>
        </w:r>
        <w:r>
          <w:rPr>
            <w:color w:val="FF8100"/>
          </w:rPr>
          <w:t>Response</w:t>
        </w:r>
        <w:r>
          <w:rPr>
            <w:color w:val="FF8100"/>
            <w:spacing w:val="30"/>
          </w:rPr>
          <w:t> </w:t>
        </w:r>
        <w:r>
          <w:rPr>
            <w:color w:val="FF8100"/>
          </w:rPr>
          <w:t>Act,”</w:t>
        </w:r>
        <w:r>
          <w:rPr>
            <w:color w:val="FF8100"/>
            <w:spacing w:val="30"/>
          </w:rPr>
          <w:t> </w:t>
        </w:r>
        <w:r>
          <w:rPr>
            <w:color w:val="FF8100"/>
          </w:rPr>
          <w:t>Fennemore</w:t>
        </w:r>
        <w:r>
          <w:rPr>
            <w:color w:val="FF8100"/>
            <w:spacing w:val="30"/>
          </w:rPr>
          <w:t> </w:t>
        </w:r>
        <w:r>
          <w:rPr>
            <w:color w:val="FF8100"/>
          </w:rPr>
          <w:t>Client</w:t>
        </w:r>
        <w:r>
          <w:rPr>
            <w:color w:val="FF8100"/>
            <w:spacing w:val="30"/>
          </w:rPr>
          <w:t> </w:t>
        </w:r>
        <w:r>
          <w:rPr>
            <w:color w:val="FF8100"/>
          </w:rPr>
          <w:t>Alert,</w:t>
        </w:r>
        <w:r>
          <w:rPr>
            <w:color w:val="FF8100"/>
            <w:spacing w:val="30"/>
          </w:rPr>
          <w:t> </w:t>
        </w:r>
        <w:r>
          <w:rPr>
            <w:color w:val="FF8100"/>
          </w:rPr>
          <w:t>March</w:t>
        </w:r>
      </w:hyperlink>
    </w:p>
    <w:p>
      <w:pPr>
        <w:pStyle w:val="BodyText"/>
        <w:spacing w:line="224" w:lineRule="exact"/>
      </w:pPr>
      <w:hyperlink r:id="rId16">
        <w:r>
          <w:rPr>
            <w:color w:val="FF8100"/>
          </w:rPr>
          <w:t>20,</w:t>
        </w:r>
        <w:r>
          <w:rPr>
            <w:color w:val="FF8100"/>
            <w:spacing w:val="6"/>
          </w:rPr>
          <w:t> </w:t>
        </w:r>
        <w:r>
          <w:rPr>
            <w:color w:val="FF8100"/>
            <w:spacing w:val="-4"/>
          </w:rPr>
          <w:t>2020</w:t>
        </w:r>
      </w:hyperlink>
    </w:p>
    <w:p>
      <w:pPr>
        <w:pStyle w:val="BodyText"/>
        <w:spacing w:before="174"/>
        <w:jc w:val="both"/>
      </w:pPr>
      <w:r>
        <w:rPr>
          <w:color w:val="6E6158"/>
        </w:rPr>
        <w:t>Speaker,</w:t>
      </w:r>
      <w:r>
        <w:rPr>
          <w:color w:val="6E6158"/>
          <w:spacing w:val="11"/>
        </w:rPr>
        <w:t> </w:t>
      </w:r>
      <w:r>
        <w:rPr>
          <w:color w:val="6E6158"/>
        </w:rPr>
        <w:t>“Implicit</w:t>
      </w:r>
      <w:r>
        <w:rPr>
          <w:color w:val="6E6158"/>
          <w:spacing w:val="12"/>
        </w:rPr>
        <w:t> </w:t>
      </w:r>
      <w:r>
        <w:rPr>
          <w:color w:val="6E6158"/>
        </w:rPr>
        <w:t>Bias</w:t>
      </w:r>
      <w:r>
        <w:rPr>
          <w:color w:val="6E6158"/>
          <w:spacing w:val="12"/>
        </w:rPr>
        <w:t> </w:t>
      </w:r>
      <w:r>
        <w:rPr>
          <w:color w:val="6E6158"/>
        </w:rPr>
        <w:t>Training,”</w:t>
      </w:r>
      <w:r>
        <w:rPr>
          <w:color w:val="6E6158"/>
          <w:spacing w:val="12"/>
        </w:rPr>
        <w:t> </w:t>
      </w:r>
      <w:r>
        <w:rPr>
          <w:color w:val="6E6158"/>
        </w:rPr>
        <w:t>National</w:t>
      </w:r>
      <w:r>
        <w:rPr>
          <w:color w:val="6E6158"/>
          <w:spacing w:val="11"/>
        </w:rPr>
        <w:t> </w:t>
      </w:r>
      <w:r>
        <w:rPr>
          <w:color w:val="6E6158"/>
        </w:rPr>
        <w:t>Association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2"/>
        </w:rPr>
        <w:t> </w:t>
      </w:r>
      <w:r>
        <w:rPr>
          <w:color w:val="6E6158"/>
        </w:rPr>
        <w:t>Charter</w:t>
      </w:r>
      <w:r>
        <w:rPr>
          <w:color w:val="6E6158"/>
          <w:spacing w:val="12"/>
        </w:rPr>
        <w:t> </w:t>
      </w:r>
      <w:r>
        <w:rPr>
          <w:color w:val="6E6158"/>
        </w:rPr>
        <w:t>School</w:t>
      </w:r>
      <w:r>
        <w:rPr>
          <w:color w:val="6E6158"/>
          <w:spacing w:val="11"/>
        </w:rPr>
        <w:t> </w:t>
      </w:r>
      <w:r>
        <w:rPr>
          <w:color w:val="6E6158"/>
        </w:rPr>
        <w:t>Lawyers,</w:t>
      </w:r>
      <w:r>
        <w:rPr>
          <w:color w:val="6E6158"/>
          <w:spacing w:val="12"/>
        </w:rPr>
        <w:t> </w:t>
      </w:r>
      <w:r>
        <w:rPr>
          <w:color w:val="6E6158"/>
        </w:rPr>
        <w:t>April</w:t>
      </w:r>
      <w:r>
        <w:rPr>
          <w:color w:val="6E6158"/>
          <w:spacing w:val="12"/>
        </w:rPr>
        <w:t> </w:t>
      </w:r>
      <w:r>
        <w:rPr>
          <w:color w:val="6E6158"/>
          <w:spacing w:val="-4"/>
        </w:rPr>
        <w:t>2019</w:t>
      </w:r>
    </w:p>
    <w:p>
      <w:pPr>
        <w:pStyle w:val="BodyText"/>
        <w:spacing w:line="292" w:lineRule="auto" w:before="182"/>
      </w:pPr>
      <w:r>
        <w:rPr>
          <w:color w:val="6E6158"/>
        </w:rPr>
        <w:t>Speaker, “Welcome to ADA Compliance: Serving Your Guests and the Animals That Serve Them,” AAHOA Convention, April 2019</w:t>
      </w:r>
    </w:p>
    <w:p>
      <w:pPr>
        <w:pStyle w:val="BodyText"/>
        <w:spacing w:after="0" w:line="292" w:lineRule="auto"/>
        <w:sectPr>
          <w:pgSz w:w="12240" w:h="15840"/>
          <w:pgMar w:top="500" w:bottom="280" w:left="1440" w:right="1440"/>
        </w:sectPr>
      </w:pPr>
    </w:p>
    <w:p>
      <w:pPr>
        <w:pStyle w:val="BodyText"/>
        <w:spacing w:line="292" w:lineRule="auto" w:before="83"/>
      </w:pPr>
      <w:r>
        <w:rPr>
          <w:color w:val="6E6158"/>
        </w:rPr>
        <w:t>Speaker, “Service Animals: The Who, What, When, Where, Why and How,” Asian American Hotel</w:t>
      </w:r>
      <w:r>
        <w:rPr>
          <w:color w:val="6E6158"/>
          <w:spacing w:val="40"/>
        </w:rPr>
        <w:t> </w:t>
      </w:r>
      <w:r>
        <w:rPr>
          <w:color w:val="6E6158"/>
        </w:rPr>
        <w:t>Association Webinar, June 26, 2018</w:t>
      </w:r>
    </w:p>
    <w:p>
      <w:pPr>
        <w:pStyle w:val="BodyText"/>
        <w:spacing w:line="292" w:lineRule="auto" w:before="132"/>
        <w:ind w:right="106"/>
      </w:pPr>
      <w:r>
        <w:rPr>
          <w:color w:val="6E6158"/>
        </w:rPr>
        <w:t>Speaker, “Arizona Americans with Disabilities Act and Fair Housing,” West Valley </w:t>
      </w:r>
      <w:r>
        <w:rPr>
          <w:color w:val="6E6158"/>
        </w:rPr>
        <w:t>Realtor’s Association, WeMarr, November 2017</w:t>
      </w:r>
    </w:p>
    <w:p>
      <w:pPr>
        <w:pStyle w:val="BodyText"/>
        <w:spacing w:line="292" w:lineRule="auto" w:before="123"/>
        <w:ind w:right="697"/>
      </w:pPr>
      <w:r>
        <w:rPr>
          <w:color w:val="6E6158"/>
        </w:rPr>
        <w:t>Speaker, “What Your Business Needs to Know About Changing ADA Compliance </w:t>
      </w:r>
      <w:r>
        <w:rPr>
          <w:color w:val="6E6158"/>
        </w:rPr>
        <w:t>Law,” Fennemore, June 14, 2017</w:t>
      </w:r>
    </w:p>
    <w:p>
      <w:pPr>
        <w:pStyle w:val="BodyText"/>
        <w:spacing w:line="292" w:lineRule="auto" w:before="131"/>
        <w:ind w:right="106"/>
      </w:pPr>
      <w:r>
        <w:rPr>
          <w:color w:val="6E6158"/>
        </w:rPr>
        <w:t>Speaker, “WHO, WHAT, WHERE, WHEN: The Future of ADA Litigation and Legislation” </w:t>
      </w:r>
      <w:r>
        <w:rPr>
          <w:color w:val="6E6158"/>
        </w:rPr>
        <w:t>Fennemore Labor and Employment Seminar, May 4, 2017</w:t>
      </w:r>
    </w:p>
    <w:p>
      <w:pPr>
        <w:pStyle w:val="BodyText"/>
        <w:spacing w:before="124"/>
      </w:pPr>
      <w:r>
        <w:rPr>
          <w:color w:val="6E6158"/>
        </w:rPr>
        <w:t>Speaker,</w:t>
      </w:r>
      <w:r>
        <w:rPr>
          <w:color w:val="6E6158"/>
          <w:spacing w:val="9"/>
        </w:rPr>
        <w:t> </w:t>
      </w:r>
      <w:r>
        <w:rPr>
          <w:color w:val="6E6158"/>
        </w:rPr>
        <w:t>“ADA</w:t>
      </w:r>
      <w:r>
        <w:rPr>
          <w:color w:val="6E6158"/>
          <w:spacing w:val="10"/>
        </w:rPr>
        <w:t> </w:t>
      </w:r>
      <w:r>
        <w:rPr>
          <w:color w:val="6E6158"/>
        </w:rPr>
        <w:t>Compliance,”</w:t>
      </w:r>
      <w:r>
        <w:rPr>
          <w:color w:val="6E6158"/>
          <w:spacing w:val="10"/>
        </w:rPr>
        <w:t> </w:t>
      </w:r>
      <w:r>
        <w:rPr>
          <w:color w:val="6E6158"/>
        </w:rPr>
        <w:t>AZ</w:t>
      </w:r>
      <w:r>
        <w:rPr>
          <w:color w:val="6E6158"/>
          <w:spacing w:val="9"/>
        </w:rPr>
        <w:t> </w:t>
      </w:r>
      <w:r>
        <w:rPr>
          <w:color w:val="6E6158"/>
        </w:rPr>
        <w:t>Bankers</w:t>
      </w:r>
      <w:r>
        <w:rPr>
          <w:color w:val="6E6158"/>
          <w:spacing w:val="10"/>
        </w:rPr>
        <w:t> </w:t>
      </w:r>
      <w:r>
        <w:rPr>
          <w:color w:val="6E6158"/>
        </w:rPr>
        <w:t>Association</w:t>
      </w:r>
      <w:r>
        <w:rPr>
          <w:color w:val="6E6158"/>
          <w:spacing w:val="10"/>
        </w:rPr>
        <w:t> </w:t>
      </w:r>
      <w:r>
        <w:rPr>
          <w:color w:val="6E6158"/>
        </w:rPr>
        <w:t>April</w:t>
      </w:r>
      <w:r>
        <w:rPr>
          <w:color w:val="6E6158"/>
          <w:spacing w:val="10"/>
        </w:rPr>
        <w:t> </w:t>
      </w:r>
      <w:r>
        <w:rPr>
          <w:color w:val="6E6158"/>
        </w:rPr>
        <w:t>Seminar,</w:t>
      </w:r>
      <w:r>
        <w:rPr>
          <w:color w:val="6E6158"/>
          <w:spacing w:val="9"/>
        </w:rPr>
        <w:t> </w:t>
      </w:r>
      <w:r>
        <w:rPr>
          <w:color w:val="6E6158"/>
        </w:rPr>
        <w:t>April</w:t>
      </w:r>
      <w:r>
        <w:rPr>
          <w:color w:val="6E6158"/>
          <w:spacing w:val="10"/>
        </w:rPr>
        <w:t> </w:t>
      </w:r>
      <w:r>
        <w:rPr>
          <w:color w:val="6E6158"/>
        </w:rPr>
        <w:t>18,</w:t>
      </w:r>
      <w:r>
        <w:rPr>
          <w:color w:val="6E6158"/>
          <w:spacing w:val="10"/>
        </w:rPr>
        <w:t> </w:t>
      </w:r>
      <w:r>
        <w:rPr>
          <w:color w:val="6E6158"/>
          <w:spacing w:val="-4"/>
        </w:rPr>
        <w:t>2017</w:t>
      </w:r>
    </w:p>
    <w:p>
      <w:pPr>
        <w:pStyle w:val="BodyText"/>
        <w:spacing w:line="302" w:lineRule="auto" w:before="174"/>
        <w:ind w:right="697"/>
      </w:pPr>
      <w:r>
        <w:rPr>
          <w:color w:val="6E6158"/>
        </w:rPr>
        <w:t>Panelist, “ADA Title III Accessibility Litigation – A Panel Discussion,” ADA Title III </w:t>
      </w:r>
      <w:r>
        <w:rPr>
          <w:color w:val="6E6158"/>
        </w:rPr>
        <w:t>Accessibility</w:t>
      </w:r>
      <w:r>
        <w:rPr>
          <w:color w:val="6E6158"/>
          <w:spacing w:val="40"/>
        </w:rPr>
        <w:t> </w:t>
      </w:r>
      <w:r>
        <w:rPr>
          <w:color w:val="6E6158"/>
        </w:rPr>
        <w:t>Litigation Webinar, January 2017</w:t>
      </w:r>
    </w:p>
    <w:p>
      <w:pPr>
        <w:pStyle w:val="BodyText"/>
        <w:spacing w:line="292" w:lineRule="auto" w:before="112"/>
        <w:ind w:right="106"/>
      </w:pPr>
      <w:hyperlink r:id="rId17">
        <w:r>
          <w:rPr>
            <w:color w:val="FF8100"/>
          </w:rPr>
          <w:t>Author,</w:t>
        </w:r>
        <w:r>
          <w:rPr>
            <w:color w:val="FF8100"/>
            <w:spacing w:val="32"/>
          </w:rPr>
          <w:t> </w:t>
        </w:r>
        <w:r>
          <w:rPr>
            <w:color w:val="FF8100"/>
          </w:rPr>
          <w:t>“Fair</w:t>
        </w:r>
        <w:r>
          <w:rPr>
            <w:color w:val="FF8100"/>
            <w:spacing w:val="32"/>
          </w:rPr>
          <w:t> </w:t>
        </w:r>
        <w:r>
          <w:rPr>
            <w:color w:val="FF8100"/>
          </w:rPr>
          <w:t>Housing</w:t>
        </w:r>
        <w:r>
          <w:rPr>
            <w:color w:val="FF8100"/>
            <w:spacing w:val="32"/>
          </w:rPr>
          <w:t> </w:t>
        </w:r>
        <w:r>
          <w:rPr>
            <w:color w:val="FF8100"/>
          </w:rPr>
          <w:t>and</w:t>
        </w:r>
        <w:r>
          <w:rPr>
            <w:color w:val="FF8100"/>
            <w:spacing w:val="32"/>
          </w:rPr>
          <w:t> </w:t>
        </w:r>
        <w:r>
          <w:rPr>
            <w:color w:val="FF8100"/>
          </w:rPr>
          <w:t>Domestic</w:t>
        </w:r>
        <w:r>
          <w:rPr>
            <w:color w:val="FF8100"/>
            <w:spacing w:val="32"/>
          </w:rPr>
          <w:t> </w:t>
        </w:r>
        <w:r>
          <w:rPr>
            <w:color w:val="FF8100"/>
          </w:rPr>
          <w:t>Violent</w:t>
        </w:r>
        <w:r>
          <w:rPr>
            <w:color w:val="FF8100"/>
            <w:spacing w:val="32"/>
          </w:rPr>
          <w:t> </w:t>
        </w:r>
        <w:r>
          <w:rPr>
            <w:color w:val="FF8100"/>
          </w:rPr>
          <w:t>Alert:</w:t>
        </w:r>
        <w:r>
          <w:rPr>
            <w:color w:val="FF8100"/>
            <w:spacing w:val="32"/>
          </w:rPr>
          <w:t> </w:t>
        </w:r>
        <w:r>
          <w:rPr>
            <w:color w:val="FF8100"/>
          </w:rPr>
          <w:t>Nuisance</w:t>
        </w:r>
        <w:r>
          <w:rPr>
            <w:color w:val="FF8100"/>
            <w:spacing w:val="32"/>
          </w:rPr>
          <w:t> </w:t>
        </w:r>
        <w:r>
          <w:rPr>
            <w:color w:val="FF8100"/>
          </w:rPr>
          <w:t>Laws,</w:t>
        </w:r>
        <w:r>
          <w:rPr>
            <w:color w:val="FF8100"/>
            <w:spacing w:val="32"/>
          </w:rPr>
          <w:t> </w:t>
        </w:r>
        <w:r>
          <w:rPr>
            <w:color w:val="FF8100"/>
          </w:rPr>
          <w:t>Eviction</w:t>
        </w:r>
        <w:r>
          <w:rPr>
            <w:color w:val="FF8100"/>
            <w:spacing w:val="32"/>
          </w:rPr>
          <w:t> </w:t>
        </w:r>
        <w:r>
          <w:rPr>
            <w:color w:val="FF8100"/>
          </w:rPr>
          <w:t>Policies</w:t>
        </w:r>
        <w:r>
          <w:rPr>
            <w:color w:val="FF8100"/>
            <w:spacing w:val="32"/>
          </w:rPr>
          <w:t> </w:t>
        </w:r>
        <w:r>
          <w:rPr>
            <w:color w:val="FF8100"/>
          </w:rPr>
          <w:t>and</w:t>
        </w:r>
      </w:hyperlink>
      <w:r>
        <w:rPr>
          <w:color w:val="FF8100"/>
        </w:rPr>
        <w:t> </w:t>
      </w:r>
      <w:hyperlink r:id="rId17">
        <w:r>
          <w:rPr>
            <w:color w:val="FF8100"/>
          </w:rPr>
          <w:t>Emergency Services Calls Policies May Be Discriminatory,” Fennemore Client Alert, November </w:t>
        </w:r>
        <w:r>
          <w:rPr>
            <w:color w:val="FF8100"/>
          </w:rPr>
          <w:t>16,</w:t>
        </w:r>
      </w:hyperlink>
      <w:r>
        <w:rPr>
          <w:color w:val="FF8100"/>
          <w:spacing w:val="40"/>
        </w:rPr>
        <w:t> </w:t>
      </w:r>
      <w:hyperlink r:id="rId17">
        <w:r>
          <w:rPr>
            <w:color w:val="FF8100"/>
            <w:spacing w:val="-4"/>
          </w:rPr>
          <w:t>2016</w:t>
        </w:r>
      </w:hyperlink>
    </w:p>
    <w:p>
      <w:pPr>
        <w:pStyle w:val="BodyText"/>
        <w:spacing w:line="292" w:lineRule="auto" w:before="132"/>
        <w:ind w:right="106"/>
      </w:pPr>
      <w:hyperlink r:id="rId18">
        <w:r>
          <w:rPr>
            <w:color w:val="FF8100"/>
          </w:rPr>
          <w:t>Author, “Fair Housing Issues For Group Homes and State and Local land Use Laws,” Fennemore</w:t>
        </w:r>
      </w:hyperlink>
      <w:r>
        <w:rPr>
          <w:color w:val="FF8100"/>
        </w:rPr>
        <w:t> </w:t>
      </w:r>
      <w:hyperlink r:id="rId18">
        <w:r>
          <w:rPr>
            <w:color w:val="FF8100"/>
          </w:rPr>
          <w:t>Client Alert, November 15, 2016</w:t>
        </w:r>
      </w:hyperlink>
    </w:p>
    <w:p>
      <w:pPr>
        <w:pStyle w:val="BodyText"/>
        <w:spacing w:line="302" w:lineRule="auto" w:before="124"/>
        <w:ind w:right="106"/>
      </w:pPr>
      <w:hyperlink r:id="rId19">
        <w:r>
          <w:rPr>
            <w:color w:val="FF8100"/>
          </w:rPr>
          <w:t>Author, “Fight Over the Enforcement of the ADA and AZDA Continues to Heat Up,” Fennemore</w:t>
        </w:r>
      </w:hyperlink>
      <w:r>
        <w:rPr>
          <w:color w:val="FF8100"/>
        </w:rPr>
        <w:t> </w:t>
      </w:r>
      <w:hyperlink r:id="rId19">
        <w:r>
          <w:rPr>
            <w:color w:val="FF8100"/>
          </w:rPr>
          <w:t>Client Alert, October 5, 2016</w:t>
        </w:r>
      </w:hyperlink>
    </w:p>
    <w:p>
      <w:pPr>
        <w:pStyle w:val="BodyText"/>
        <w:spacing w:line="292" w:lineRule="auto" w:before="112"/>
        <w:ind w:right="697"/>
      </w:pPr>
      <w:r>
        <w:rPr>
          <w:color w:val="6E6158"/>
        </w:rPr>
        <w:t>Panelist, “ADA Lawsuits and Their Impact on the CRE Industry,” BOMA Greater Phoenix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NAIOP, October 2016</w:t>
      </w:r>
    </w:p>
    <w:p>
      <w:pPr>
        <w:pStyle w:val="BodyText"/>
        <w:spacing w:before="124"/>
      </w:pPr>
      <w:r>
        <w:rPr>
          <w:color w:val="6E6158"/>
        </w:rPr>
        <w:t>Speaker,</w:t>
      </w:r>
      <w:r>
        <w:rPr>
          <w:color w:val="6E6158"/>
          <w:spacing w:val="10"/>
        </w:rPr>
        <w:t> </w:t>
      </w:r>
      <w:r>
        <w:rPr>
          <w:color w:val="6E6158"/>
        </w:rPr>
        <w:t>“Empower</w:t>
      </w:r>
      <w:r>
        <w:rPr>
          <w:color w:val="6E6158"/>
          <w:spacing w:val="11"/>
        </w:rPr>
        <w:t> </w:t>
      </w:r>
      <w:r>
        <w:rPr>
          <w:color w:val="6E6158"/>
        </w:rPr>
        <w:t>to</w:t>
      </w:r>
      <w:r>
        <w:rPr>
          <w:color w:val="6E6158"/>
          <w:spacing w:val="11"/>
        </w:rPr>
        <w:t> </w:t>
      </w:r>
      <w:r>
        <w:rPr>
          <w:color w:val="6E6158"/>
        </w:rPr>
        <w:t>Evaluate,”</w:t>
      </w:r>
      <w:r>
        <w:rPr>
          <w:color w:val="6E6158"/>
          <w:spacing w:val="11"/>
        </w:rPr>
        <w:t> </w:t>
      </w:r>
      <w:r>
        <w:rPr>
          <w:color w:val="6E6158"/>
        </w:rPr>
        <w:t>ADA</w:t>
      </w:r>
      <w:r>
        <w:rPr>
          <w:color w:val="6E6158"/>
          <w:spacing w:val="11"/>
        </w:rPr>
        <w:t> </w:t>
      </w:r>
      <w:r>
        <w:rPr>
          <w:color w:val="6E6158"/>
        </w:rPr>
        <w:t>Compliance</w:t>
      </w:r>
      <w:r>
        <w:rPr>
          <w:color w:val="6E6158"/>
          <w:spacing w:val="11"/>
        </w:rPr>
        <w:t> </w:t>
      </w:r>
      <w:r>
        <w:rPr>
          <w:color w:val="6E6158"/>
        </w:rPr>
        <w:t>Seminar,</w:t>
      </w:r>
      <w:r>
        <w:rPr>
          <w:color w:val="6E6158"/>
          <w:spacing w:val="11"/>
        </w:rPr>
        <w:t> </w:t>
      </w:r>
      <w:r>
        <w:rPr>
          <w:color w:val="6E6158"/>
        </w:rPr>
        <w:t>September</w:t>
      </w:r>
      <w:r>
        <w:rPr>
          <w:color w:val="6E6158"/>
          <w:spacing w:val="11"/>
        </w:rPr>
        <w:t> </w:t>
      </w:r>
      <w:r>
        <w:rPr>
          <w:color w:val="6E6158"/>
        </w:rPr>
        <w:t>29,</w:t>
      </w:r>
      <w:r>
        <w:rPr>
          <w:color w:val="6E6158"/>
          <w:spacing w:val="11"/>
        </w:rPr>
        <w:t> </w:t>
      </w:r>
      <w:r>
        <w:rPr>
          <w:color w:val="6E6158"/>
          <w:spacing w:val="-4"/>
        </w:rPr>
        <w:t>2016</w:t>
      </w:r>
    </w:p>
    <w:p>
      <w:pPr>
        <w:pStyle w:val="BodyText"/>
        <w:spacing w:before="171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ACTIVITIES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420" w:lineRule="auto" w:before="1"/>
        <w:ind w:right="5749"/>
      </w:pPr>
      <w:r>
        <w:rPr>
          <w:color w:val="6E6158"/>
        </w:rPr>
        <w:t>Member, State Bar of Arizona Member, American Bar </w:t>
      </w:r>
      <w:r>
        <w:rPr>
          <w:color w:val="6E6158"/>
        </w:rPr>
        <w:t>Association</w:t>
      </w:r>
    </w:p>
    <w:p>
      <w:pPr>
        <w:pStyle w:val="BodyText"/>
        <w:spacing w:line="422" w:lineRule="auto"/>
        <w:ind w:right="4467"/>
      </w:pPr>
      <w:r>
        <w:rPr>
          <w:color w:val="6E6158"/>
        </w:rPr>
        <w:t>Member, Maricopa County Bar Association Member, Association for Conflict Resolution Member, Arizona Dispute Resolution </w:t>
      </w:r>
      <w:r>
        <w:rPr>
          <w:color w:val="6E6158"/>
        </w:rPr>
        <w:t>Association</w:t>
      </w:r>
    </w:p>
    <w:p>
      <w:pPr>
        <w:pStyle w:val="BodyText"/>
        <w:spacing w:line="232" w:lineRule="exact"/>
      </w:pPr>
      <w:r>
        <w:rPr>
          <w:color w:val="6E6158"/>
        </w:rPr>
        <w:t>Member,</w:t>
      </w:r>
      <w:r>
        <w:rPr>
          <w:color w:val="6E6158"/>
          <w:spacing w:val="15"/>
        </w:rPr>
        <w:t> </w:t>
      </w:r>
      <w:r>
        <w:rPr>
          <w:color w:val="6E6158"/>
        </w:rPr>
        <w:t>Maricopa</w:t>
      </w:r>
      <w:r>
        <w:rPr>
          <w:color w:val="6E6158"/>
          <w:spacing w:val="15"/>
        </w:rPr>
        <w:t> </w:t>
      </w:r>
      <w:r>
        <w:rPr>
          <w:color w:val="6E6158"/>
        </w:rPr>
        <w:t>Alternative</w:t>
      </w:r>
      <w:r>
        <w:rPr>
          <w:color w:val="6E6158"/>
          <w:spacing w:val="15"/>
        </w:rPr>
        <w:t> </w:t>
      </w:r>
      <w:r>
        <w:rPr>
          <w:color w:val="6E6158"/>
        </w:rPr>
        <w:t>Dispute</w:t>
      </w:r>
      <w:r>
        <w:rPr>
          <w:color w:val="6E6158"/>
          <w:spacing w:val="15"/>
        </w:rPr>
        <w:t> </w:t>
      </w:r>
      <w:r>
        <w:rPr>
          <w:color w:val="6E6158"/>
        </w:rPr>
        <w:t>Resolution</w:t>
      </w:r>
      <w:r>
        <w:rPr>
          <w:color w:val="6E6158"/>
          <w:spacing w:val="15"/>
        </w:rPr>
        <w:t> </w:t>
      </w:r>
      <w:r>
        <w:rPr>
          <w:color w:val="6E6158"/>
          <w:spacing w:val="-2"/>
        </w:rPr>
        <w:t>Association</w:t>
      </w:r>
    </w:p>
    <w:p>
      <w:pPr>
        <w:pStyle w:val="BodyText"/>
        <w:spacing w:line="302" w:lineRule="auto" w:before="172"/>
        <w:ind w:right="564"/>
      </w:pPr>
      <w:r>
        <w:rPr>
          <w:color w:val="6E6158"/>
        </w:rPr>
        <w:t>Conducted</w:t>
      </w:r>
      <w:r>
        <w:rPr>
          <w:color w:val="6E6158"/>
          <w:spacing w:val="17"/>
        </w:rPr>
        <w:t> </w:t>
      </w:r>
      <w:r>
        <w:rPr>
          <w:color w:val="6E6158"/>
        </w:rPr>
        <w:t>gang</w:t>
      </w:r>
      <w:r>
        <w:rPr>
          <w:color w:val="6E6158"/>
          <w:spacing w:val="17"/>
        </w:rPr>
        <w:t> </w:t>
      </w:r>
      <w:r>
        <w:rPr>
          <w:color w:val="6E6158"/>
        </w:rPr>
        <w:t>mediations</w:t>
      </w:r>
      <w:r>
        <w:rPr>
          <w:color w:val="6E6158"/>
          <w:spacing w:val="17"/>
        </w:rPr>
        <w:t> </w:t>
      </w:r>
      <w:r>
        <w:rPr>
          <w:color w:val="6E6158"/>
        </w:rPr>
        <w:t>and</w:t>
      </w:r>
      <w:r>
        <w:rPr>
          <w:color w:val="6E6158"/>
          <w:spacing w:val="17"/>
        </w:rPr>
        <w:t> </w:t>
      </w:r>
      <w:r>
        <w:rPr>
          <w:color w:val="6E6158"/>
        </w:rPr>
        <w:t>coordinated</w:t>
      </w:r>
      <w:r>
        <w:rPr>
          <w:color w:val="6E6158"/>
          <w:spacing w:val="17"/>
        </w:rPr>
        <w:t> </w:t>
      </w:r>
      <w:r>
        <w:rPr>
          <w:color w:val="6E6158"/>
        </w:rPr>
        <w:t>“Not</w:t>
      </w:r>
      <w:r>
        <w:rPr>
          <w:color w:val="6E6158"/>
          <w:spacing w:val="17"/>
        </w:rPr>
        <w:t> </w:t>
      </w:r>
      <w:r>
        <w:rPr>
          <w:color w:val="6E6158"/>
        </w:rPr>
        <w:t>in</w:t>
      </w:r>
      <w:r>
        <w:rPr>
          <w:color w:val="6E6158"/>
          <w:spacing w:val="17"/>
        </w:rPr>
        <w:t> </w:t>
      </w:r>
      <w:r>
        <w:rPr>
          <w:color w:val="6E6158"/>
        </w:rPr>
        <w:t>Our</w:t>
      </w:r>
      <w:r>
        <w:rPr>
          <w:color w:val="6E6158"/>
          <w:spacing w:val="17"/>
        </w:rPr>
        <w:t> </w:t>
      </w:r>
      <w:r>
        <w:rPr>
          <w:color w:val="6E6158"/>
        </w:rPr>
        <w:t>State”</w:t>
      </w:r>
      <w:r>
        <w:rPr>
          <w:color w:val="6E6158"/>
          <w:spacing w:val="17"/>
        </w:rPr>
        <w:t> </w:t>
      </w:r>
      <w:r>
        <w:rPr>
          <w:color w:val="6E6158"/>
        </w:rPr>
        <w:t>anti-harassment</w:t>
      </w:r>
      <w:r>
        <w:rPr>
          <w:color w:val="6E6158"/>
          <w:spacing w:val="17"/>
        </w:rPr>
        <w:t> </w:t>
      </w:r>
      <w:r>
        <w:rPr>
          <w:color w:val="6E6158"/>
        </w:rPr>
        <w:t>and</w:t>
      </w:r>
      <w:r>
        <w:rPr>
          <w:color w:val="6E6158"/>
          <w:spacing w:val="17"/>
        </w:rPr>
        <w:t> </w:t>
      </w:r>
      <w:r>
        <w:rPr>
          <w:color w:val="6E6158"/>
        </w:rPr>
        <w:t>anti-discrimination program</w:t>
      </w:r>
    </w:p>
    <w:p>
      <w:pPr>
        <w:pStyle w:val="BodyText"/>
        <w:spacing w:before="102"/>
        <w:ind w:left="0"/>
        <w:rPr>
          <w:sz w:val="24"/>
        </w:rPr>
      </w:pPr>
    </w:p>
    <w:p>
      <w:pPr>
        <w:pStyle w:val="Heading1"/>
      </w:pPr>
      <w:r>
        <w:rPr>
          <w:color w:val="FF8100"/>
          <w:spacing w:val="-2"/>
        </w:rPr>
        <w:t>ADMISSIONS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</w:pPr>
      <w:r>
        <w:rPr>
          <w:color w:val="6E6158"/>
          <w:spacing w:val="-2"/>
        </w:rPr>
        <w:t>Arizona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9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Court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Arizona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1"/>
      </w:pPr>
      <w:r>
        <w:rPr>
          <w:color w:val="FF8100"/>
          <w:spacing w:val="-2"/>
        </w:rPr>
        <w:t>LANGUAGE</w:t>
      </w:r>
    </w:p>
    <w:p>
      <w:pPr>
        <w:pStyle w:val="BodyText"/>
        <w:spacing w:before="36"/>
        <w:ind w:left="0"/>
        <w:rPr>
          <w:b/>
        </w:rPr>
      </w:pPr>
    </w:p>
    <w:p>
      <w:pPr>
        <w:pStyle w:val="BodyText"/>
      </w:pPr>
      <w:r>
        <w:rPr>
          <w:color w:val="6E6158"/>
        </w:rPr>
        <w:t>Italian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(Fluent)</w:t>
      </w:r>
    </w:p>
    <w:sectPr>
      <w:pgSz w:w="12240" w:h="15840"/>
      <w:pgMar w:top="50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99"/>
    </w:pPr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9"/>
      <w:outlineLvl w:val="1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education/" TargetMode="External"/><Relationship Id="rId9" Type="http://schemas.openxmlformats.org/officeDocument/2006/relationships/hyperlink" Target="https://www.fennemorelaw.com/contact-us/phoenix/" TargetMode="External"/><Relationship Id="rId10" Type="http://schemas.openxmlformats.org/officeDocument/2006/relationships/hyperlink" Target="mailto:bpedrini@fennemorelaw.com" TargetMode="External"/><Relationship Id="rId11" Type="http://schemas.openxmlformats.org/officeDocument/2006/relationships/hyperlink" Target="https://www.fennemorelaw.com/inclusion-parental-rights-and-choice-classroom-lessons-in-pluralism/" TargetMode="External"/><Relationship Id="rId12" Type="http://schemas.openxmlformats.org/officeDocument/2006/relationships/hyperlink" Target="https://www.fennemorelaw.com/update-u-s-department-of-education-final-title-ix-regulations-effective-august-1-increase-scope-against-sex-discrimination/" TargetMode="External"/><Relationship Id="rId13" Type="http://schemas.openxmlformats.org/officeDocument/2006/relationships/hyperlink" Target="https://www.fennemorelaw.com/update-u-s-department-of-education-final-title-ix-regulations-effective-august-1-increase-scope-against-sex-discrimination-key-facts-about-title-ix-training/" TargetMode="External"/><Relationship Id="rId14" Type="http://schemas.openxmlformats.org/officeDocument/2006/relationships/hyperlink" Target="https://www.fennemorelaw.com/i-liken-that-work-to-standing-in-a-batters-box-and-taking-the-pitches-as-they-come/" TargetMode="External"/><Relationship Id="rId15" Type="http://schemas.openxmlformats.org/officeDocument/2006/relationships/hyperlink" Target="https://www.fennemorelaw.com/insights/newsletters/2020/covid-19-health-plan-coverage-for-furloughed-employees" TargetMode="External"/><Relationship Id="rId16" Type="http://schemas.openxmlformats.org/officeDocument/2006/relationships/hyperlink" Target="https://www.fennemorelaw.com/insights/newsletters/2020/understanding-the-emergency-family-medical-leave-expansion-act-and-emergency-paid-sick-leave-in-the-families-first-coronavirus-response-act" TargetMode="External"/><Relationship Id="rId17" Type="http://schemas.openxmlformats.org/officeDocument/2006/relationships/hyperlink" Target="https://www.fennemorelaw.com/insights/newsletters/2016/fair-housing-and-domestic-violence-nuisance-laws-eviction-policies-and-emergency-services-calls" TargetMode="External"/><Relationship Id="rId18" Type="http://schemas.openxmlformats.org/officeDocument/2006/relationships/hyperlink" Target="https://www.fennemorelaw.com/insights/newsletters/2016/fair-housing-issues-for-group-homes-and-state-and-local-land-use-laws" TargetMode="External"/><Relationship Id="rId19" Type="http://schemas.openxmlformats.org/officeDocument/2006/relationships/hyperlink" Target="https://www.fennemorelaw.com/insights/newsletters/2016/fight-over-enforcement-of-the-ada-and-azda-continues-to-heat-up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Bruna E. Pedrini - Fennemore</dc:title>
  <dcterms:created xsi:type="dcterms:W3CDTF">2026-10-06T12:37:19Z</dcterms:created>
  <dcterms:modified xsi:type="dcterms:W3CDTF">2026-10-06T12:37:19Z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2026-10-06T00:00:00Z</vt:filetime>
  </property>
  <property fmtid="{D5CDD505-2E9C-101B-9397-08002B2CF9AE}" pid="4" name="Creator">
    <vt:lpwstr>Mozilla/5.0 (X11; Linux x86_64) AppleWebKit/537.36 (KHTML, like Gecko) HeadlessChrome/154.0.0.0 Safari/537.36</vt:lpwstr>
  </property>
  <property fmtid="{D5CDD505-2E9C-101B-9397-08002B2CF9AE}" pid="5" name="LastSaved">
    <vt:filetime>2026-10-06T00:00:00Z</vt:filetime>
  </property>
  <property fmtid="{D5CDD505-2E9C-101B-9397-08002B2CF9AE}" pid="6" name="Producer">
    <vt:lpwstr>Skia/PDF m154</vt:lpwstr>
  </property>
</Properties>
</file>