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Christine E. Reinhard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48149" y="763308"/>
                            <a:ext cx="122428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CHRISTINE REINHARD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70926" y="2500373"/>
                            <a:ext cx="15786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creinhard@fennemorelaw.com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Christine E. Reinhard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53;top:-3887;width:192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CHRISTINE REINHARD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274;top:-1151;width:248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creinhard@fennemorelaw.com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CHRISTINE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REINHARD</w:t>
      </w:r>
    </w:p>
    <w:p>
      <w:pPr>
        <w:pStyle w:val="BodyText"/>
        <w:spacing w:line="302" w:lineRule="auto" w:before="146"/>
        <w:ind w:right="212"/>
      </w:pPr>
      <w:r>
        <w:rPr>
          <w:color w:val="6E6158"/>
        </w:rPr>
        <w:t>Christine E. Reinhard is a Director in Fennemore’s Employment &amp; Labor practice group based in</w:t>
      </w:r>
      <w:r>
        <w:rPr>
          <w:color w:val="6E6158"/>
          <w:spacing w:val="40"/>
        </w:rPr>
        <w:t> </w:t>
      </w:r>
      <w:r>
        <w:rPr>
          <w:color w:val="6E6158"/>
        </w:rPr>
        <w:t>San Antonio, Texas.</w:t>
      </w:r>
    </w:p>
    <w:p>
      <w:pPr>
        <w:pStyle w:val="BodyText"/>
        <w:spacing w:before="186"/>
      </w:pPr>
      <w:r>
        <w:rPr>
          <w:color w:val="6E6158"/>
        </w:rPr>
        <w:t>Christine</w:t>
      </w:r>
      <w:r>
        <w:rPr>
          <w:color w:val="6E6158"/>
          <w:spacing w:val="9"/>
        </w:rPr>
        <w:t> </w:t>
      </w:r>
      <w:r>
        <w:rPr>
          <w:color w:val="6E6158"/>
        </w:rPr>
        <w:t>is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Certified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Labor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Employment</w:t>
      </w:r>
      <w:r>
        <w:rPr>
          <w:color w:val="6E6158"/>
          <w:spacing w:val="10"/>
        </w:rPr>
        <w:t> </w:t>
      </w:r>
      <w:r>
        <w:rPr>
          <w:color w:val="6E6158"/>
        </w:rPr>
        <w:t>Law</w:t>
      </w:r>
      <w:r>
        <w:rPr>
          <w:color w:val="6E6158"/>
          <w:spacing w:val="9"/>
        </w:rPr>
        <w:t> </w:t>
      </w:r>
      <w:r>
        <w:rPr>
          <w:color w:val="6E6158"/>
        </w:rPr>
        <w:t>by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Texas</w:t>
      </w:r>
      <w:r>
        <w:rPr>
          <w:color w:val="6E6158"/>
          <w:spacing w:val="10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Legal</w:t>
      </w:r>
    </w:p>
    <w:p>
      <w:pPr>
        <w:pStyle w:val="BodyText"/>
        <w:spacing w:line="295" w:lineRule="auto" w:before="52"/>
        <w:ind w:right="245"/>
      </w:pPr>
      <w:r>
        <w:rPr>
          <w:color w:val="6E6158"/>
        </w:rPr>
        <w:t>Specialization. Her practice encompasses all aspects of labor and employment law. An active</w:t>
      </w:r>
      <w:r>
        <w:rPr>
          <w:color w:val="6E6158"/>
          <w:spacing w:val="40"/>
        </w:rPr>
        <w:t> </w:t>
      </w:r>
      <w:r>
        <w:rPr>
          <w:color w:val="6E6158"/>
        </w:rPr>
        <w:t>trial lawyer, she has defended employers in jury and bench trials and frequently litigates in court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private</w:t>
      </w:r>
      <w:r>
        <w:rPr>
          <w:color w:val="6E6158"/>
          <w:spacing w:val="17"/>
        </w:rPr>
        <w:t> </w:t>
      </w:r>
      <w:r>
        <w:rPr>
          <w:color w:val="6E6158"/>
        </w:rPr>
        <w:t>arbitrations.</w:t>
      </w:r>
      <w:r>
        <w:rPr>
          <w:color w:val="6E6158"/>
          <w:spacing w:val="17"/>
        </w:rPr>
        <w:t> </w:t>
      </w:r>
      <w:r>
        <w:rPr>
          <w:color w:val="6E6158"/>
        </w:rPr>
        <w:t>She</w:t>
      </w:r>
      <w:r>
        <w:rPr>
          <w:color w:val="6E6158"/>
          <w:spacing w:val="17"/>
        </w:rPr>
        <w:t> </w:t>
      </w:r>
      <w:r>
        <w:rPr>
          <w:color w:val="6E6158"/>
        </w:rPr>
        <w:t>additionally</w:t>
      </w:r>
      <w:r>
        <w:rPr>
          <w:color w:val="6E6158"/>
          <w:spacing w:val="17"/>
        </w:rPr>
        <w:t> </w:t>
      </w:r>
      <w:r>
        <w:rPr>
          <w:color w:val="6E6158"/>
        </w:rPr>
        <w:t>assists</w:t>
      </w:r>
      <w:r>
        <w:rPr>
          <w:color w:val="6E6158"/>
          <w:spacing w:val="17"/>
        </w:rPr>
        <w:t> </w:t>
      </w:r>
      <w:r>
        <w:rPr>
          <w:color w:val="6E6158"/>
        </w:rPr>
        <w:t>employers</w:t>
      </w:r>
      <w:r>
        <w:rPr>
          <w:color w:val="6E6158"/>
          <w:spacing w:val="17"/>
        </w:rPr>
        <w:t> </w:t>
      </w:r>
      <w:r>
        <w:rPr>
          <w:color w:val="6E6158"/>
        </w:rPr>
        <w:t>with</w:t>
      </w:r>
      <w:r>
        <w:rPr>
          <w:color w:val="6E6158"/>
          <w:spacing w:val="17"/>
        </w:rPr>
        <w:t> </w:t>
      </w:r>
      <w:r>
        <w:rPr>
          <w:color w:val="6E6158"/>
        </w:rPr>
        <w:t>various</w:t>
      </w:r>
      <w:r>
        <w:rPr>
          <w:color w:val="6E6158"/>
          <w:spacing w:val="17"/>
        </w:rPr>
        <w:t> </w:t>
      </w:r>
      <w:r>
        <w:rPr>
          <w:color w:val="6E6158"/>
        </w:rPr>
        <w:t>preventative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non-litigation strategies and activities, such as:</w:t>
      </w:r>
    </w:p>
    <w:p>
      <w:pPr>
        <w:pStyle w:val="BodyText"/>
        <w:spacing w:before="197"/>
      </w:pPr>
      <w:r>
        <w:rPr>
          <w:color w:val="6E6158"/>
        </w:rPr>
        <w:t>Counseling</w:t>
      </w:r>
      <w:r>
        <w:rPr>
          <w:color w:val="6E6158"/>
          <w:spacing w:val="15"/>
        </w:rPr>
        <w:t> </w:t>
      </w:r>
      <w:r>
        <w:rPr>
          <w:color w:val="6E6158"/>
        </w:rPr>
        <w:t>employers</w:t>
      </w:r>
      <w:r>
        <w:rPr>
          <w:color w:val="6E6158"/>
          <w:spacing w:val="16"/>
        </w:rPr>
        <w:t> </w:t>
      </w:r>
      <w:r>
        <w:rPr>
          <w:color w:val="6E6158"/>
        </w:rPr>
        <w:t>on</w:t>
      </w:r>
      <w:r>
        <w:rPr>
          <w:color w:val="6E6158"/>
          <w:spacing w:val="16"/>
        </w:rPr>
        <w:t> </w:t>
      </w:r>
      <w:r>
        <w:rPr>
          <w:color w:val="6E6158"/>
        </w:rPr>
        <w:t>strategic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complex</w:t>
      </w:r>
      <w:r>
        <w:rPr>
          <w:color w:val="6E6158"/>
          <w:spacing w:val="16"/>
        </w:rPr>
        <w:t> </w:t>
      </w:r>
      <w:r>
        <w:rPr>
          <w:color w:val="6E6158"/>
        </w:rPr>
        <w:t>employment</w:t>
      </w:r>
      <w:r>
        <w:rPr>
          <w:color w:val="6E6158"/>
          <w:spacing w:val="16"/>
        </w:rPr>
        <w:t> </w:t>
      </w:r>
      <w:r>
        <w:rPr>
          <w:color w:val="6E6158"/>
        </w:rPr>
        <w:t>policy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contractual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issues</w:t>
      </w:r>
    </w:p>
    <w:p>
      <w:pPr>
        <w:pStyle w:val="BodyText"/>
        <w:spacing w:line="302" w:lineRule="auto" w:before="174"/>
        <w:ind w:right="245"/>
      </w:pPr>
      <w:r>
        <w:rPr>
          <w:color w:val="6E6158"/>
        </w:rPr>
        <w:t>Advising employers through governmental investigations and audits, including by such </w:t>
      </w:r>
      <w:r>
        <w:rPr>
          <w:color w:val="6E6158"/>
        </w:rPr>
        <w:t>agencies</w:t>
      </w:r>
      <w:r>
        <w:rPr>
          <w:color w:val="6E6158"/>
          <w:spacing w:val="40"/>
        </w:rPr>
        <w:t> </w:t>
      </w:r>
      <w:r>
        <w:rPr>
          <w:color w:val="6E6158"/>
        </w:rPr>
        <w:t>as the Texas Workforce Commission, EEOC, DOL, and OFCCP</w:t>
      </w:r>
    </w:p>
    <w:p>
      <w:pPr>
        <w:pStyle w:val="BodyText"/>
        <w:spacing w:line="420" w:lineRule="auto" w:before="113"/>
        <w:ind w:right="829"/>
      </w:pPr>
      <w:r>
        <w:rPr>
          <w:color w:val="6E6158"/>
        </w:rPr>
        <w:t>Reviewing and preparing employment contracts and non-compete agreements Conducting in-house training on a variety of labor and employment-related </w:t>
      </w:r>
      <w:r>
        <w:rPr>
          <w:color w:val="6E6158"/>
        </w:rPr>
        <w:t>topics</w:t>
      </w:r>
    </w:p>
    <w:p>
      <w:pPr>
        <w:pStyle w:val="BodyText"/>
        <w:spacing w:line="297" w:lineRule="auto" w:before="120"/>
        <w:ind w:right="245"/>
      </w:pPr>
      <w:r>
        <w:rPr>
          <w:color w:val="6E6158"/>
        </w:rPr>
        <w:t>Besides representing employers in National Labor Relations Board proceedings, Christine also has</w:t>
      </w:r>
      <w:r>
        <w:rPr>
          <w:color w:val="6E6158"/>
          <w:spacing w:val="40"/>
        </w:rPr>
        <w:t> </w:t>
      </w:r>
      <w:r>
        <w:rPr>
          <w:color w:val="6E6158"/>
        </w:rPr>
        <w:t>guided employers through union negotiations and corporate campaigns. Christine’s</w:t>
      </w:r>
      <w:r>
        <w:rPr>
          <w:color w:val="6E6158"/>
          <w:spacing w:val="40"/>
        </w:rPr>
        <w:t> </w:t>
      </w:r>
      <w:r>
        <w:rPr>
          <w:color w:val="6E6158"/>
        </w:rPr>
        <w:t>representation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traditional</w:t>
      </w:r>
      <w:r>
        <w:rPr>
          <w:color w:val="6E6158"/>
          <w:spacing w:val="32"/>
        </w:rPr>
        <w:t> </w:t>
      </w:r>
      <w:r>
        <w:rPr>
          <w:color w:val="6E6158"/>
        </w:rPr>
        <w:t>labor</w:t>
      </w:r>
      <w:r>
        <w:rPr>
          <w:color w:val="6E6158"/>
          <w:spacing w:val="32"/>
        </w:rPr>
        <w:t> </w:t>
      </w:r>
      <w:r>
        <w:rPr>
          <w:color w:val="6E6158"/>
        </w:rPr>
        <w:t>context</w:t>
      </w:r>
      <w:r>
        <w:rPr>
          <w:color w:val="6E6158"/>
          <w:spacing w:val="32"/>
        </w:rPr>
        <w:t> </w:t>
      </w:r>
      <w:r>
        <w:rPr>
          <w:color w:val="6E6158"/>
        </w:rPr>
        <w:t>has</w:t>
      </w:r>
      <w:r>
        <w:rPr>
          <w:color w:val="6E6158"/>
          <w:spacing w:val="32"/>
        </w:rPr>
        <w:t> </w:t>
      </w:r>
      <w:r>
        <w:rPr>
          <w:color w:val="6E6158"/>
        </w:rPr>
        <w:t>included</w:t>
      </w:r>
      <w:r>
        <w:rPr>
          <w:color w:val="6E6158"/>
          <w:spacing w:val="32"/>
        </w:rPr>
        <w:t> </w:t>
      </w:r>
      <w:r>
        <w:rPr>
          <w:color w:val="6E6158"/>
        </w:rPr>
        <w:t>both</w:t>
      </w:r>
      <w:r>
        <w:rPr>
          <w:color w:val="6E6158"/>
          <w:spacing w:val="32"/>
        </w:rPr>
        <w:t> </w:t>
      </w:r>
      <w:r>
        <w:rPr>
          <w:color w:val="6E6158"/>
        </w:rPr>
        <w:t>public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private</w:t>
      </w:r>
      <w:r>
        <w:rPr>
          <w:color w:val="6E6158"/>
          <w:spacing w:val="32"/>
        </w:rPr>
        <w:t> </w:t>
      </w:r>
      <w:r>
        <w:rPr>
          <w:color w:val="6E6158"/>
        </w:rPr>
        <w:t>entities.</w:t>
      </w:r>
    </w:p>
    <w:p>
      <w:pPr>
        <w:pStyle w:val="BodyText"/>
        <w:spacing w:line="297" w:lineRule="auto" w:before="191"/>
        <w:ind w:right="230"/>
        <w:jc w:val="both"/>
      </w:pPr>
      <w:r>
        <w:rPr>
          <w:color w:val="6E6158"/>
        </w:rPr>
        <w:t>Before joining Fennemore, Christine was a founding partner of Schmoyer Reinhard, LLP. Earlier in her career, she was a counsel in the labor and employment section of Akin Gump Strauss Hauer</w:t>
      </w:r>
      <w:r>
        <w:rPr>
          <w:color w:val="6E6158"/>
          <w:spacing w:val="80"/>
        </w:rPr>
        <w:t> </w:t>
      </w:r>
      <w:r>
        <w:rPr>
          <w:color w:val="6E6158"/>
        </w:rPr>
        <w:t>&amp; Feld LLP.</w:t>
      </w:r>
    </w:p>
    <w:p>
      <w:pPr>
        <w:pStyle w:val="Heading1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08" w:lineRule="auto"/>
        <w:ind w:right="829"/>
        <w:rPr>
          <w:i/>
          <w:sz w:val="20"/>
        </w:rPr>
      </w:pPr>
      <w:r>
        <w:rPr>
          <w:color w:val="6E6158"/>
        </w:rPr>
        <w:t>Board Certified in Labor and Employment Law by the Texas Board of Legal Specialization J.D., St. Mary’s University School of Law, </w:t>
      </w:r>
      <w:r>
        <w:rPr>
          <w:i/>
          <w:color w:val="6E6158"/>
          <w:sz w:val="20"/>
        </w:rPr>
        <w:t>summa cum laude</w:t>
      </w:r>
    </w:p>
    <w:p>
      <w:pPr>
        <w:spacing w:line="244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Texas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A&amp;M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2"/>
          <w:sz w:val="20"/>
        </w:rPr>
        <w:t> laude</w:t>
      </w:r>
    </w:p>
    <w:p>
      <w:pPr>
        <w:pStyle w:val="BodyText"/>
        <w:spacing w:before="161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2" w:lineRule="auto" w:before="83"/>
        <w:ind w:right="6751"/>
      </w:pPr>
      <w:r>
        <w:rPr>
          <w:color w:val="6E6158"/>
        </w:rPr>
        <w:t>Labor &amp; </w:t>
      </w:r>
      <w:r>
        <w:rPr>
          <w:color w:val="6E6158"/>
        </w:rPr>
        <w:t>Employment Business Litigation </w:t>
      </w:r>
      <w:r>
        <w:rPr>
          <w:color w:val="6E6158"/>
          <w:spacing w:val="-2"/>
        </w:rPr>
        <w:t>Education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2024 Lee Cusenbary Ethical Life &amp; Leadership Award, Association of Corporate Counsel – San</w:t>
      </w:r>
      <w:r>
        <w:rPr>
          <w:color w:val="6E6158"/>
          <w:spacing w:val="40"/>
        </w:rPr>
        <w:t> </w:t>
      </w:r>
      <w:r>
        <w:rPr>
          <w:color w:val="6E6158"/>
        </w:rPr>
        <w:t>Antonio Chapter</w:t>
      </w:r>
    </w:p>
    <w:p>
      <w:pPr>
        <w:pStyle w:val="BodyText"/>
        <w:spacing w:before="123"/>
      </w:pPr>
      <w:r>
        <w:rPr>
          <w:color w:val="6E6158"/>
        </w:rPr>
        <w:t>Chambers</w:t>
      </w:r>
      <w:r>
        <w:rPr>
          <w:color w:val="6E6158"/>
          <w:spacing w:val="10"/>
        </w:rPr>
        <w:t> </w:t>
      </w:r>
      <w:r>
        <w:rPr>
          <w:color w:val="6E6158"/>
        </w:rPr>
        <w:t>USA,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Employment:</w:t>
      </w:r>
      <w:r>
        <w:rPr>
          <w:color w:val="6E6158"/>
          <w:spacing w:val="10"/>
        </w:rPr>
        <w:t> </w:t>
      </w:r>
      <w:r>
        <w:rPr>
          <w:color w:val="6E6158"/>
        </w:rPr>
        <w:t>Texas,</w:t>
      </w:r>
      <w:r>
        <w:rPr>
          <w:color w:val="6E6158"/>
          <w:spacing w:val="11"/>
        </w:rPr>
        <w:t> </w:t>
      </w:r>
      <w:r>
        <w:rPr>
          <w:color w:val="6E6158"/>
        </w:rPr>
        <w:t>2018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82"/>
      </w:pPr>
      <w:r>
        <w:rPr>
          <w:color w:val="6E6158"/>
        </w:rPr>
        <w:t>San</w:t>
      </w:r>
      <w:r>
        <w:rPr>
          <w:color w:val="6E6158"/>
          <w:spacing w:val="12"/>
        </w:rPr>
        <w:t> </w:t>
      </w:r>
      <w:r>
        <w:rPr>
          <w:color w:val="6E6158"/>
        </w:rPr>
        <w:t>Antonio’s</w:t>
      </w:r>
      <w:r>
        <w:rPr>
          <w:color w:val="6E6158"/>
          <w:spacing w:val="12"/>
        </w:rPr>
        <w:t> </w:t>
      </w:r>
      <w:r>
        <w:rPr>
          <w:color w:val="6E6158"/>
        </w:rPr>
        <w:t>Outstanding</w:t>
      </w:r>
      <w:r>
        <w:rPr>
          <w:color w:val="6E6158"/>
          <w:spacing w:val="12"/>
        </w:rPr>
        <w:t> </w:t>
      </w:r>
      <w:r>
        <w:rPr>
          <w:color w:val="6E6158"/>
        </w:rPr>
        <w:t>Women</w:t>
      </w:r>
      <w:r>
        <w:rPr>
          <w:color w:val="6E6158"/>
          <w:spacing w:val="13"/>
        </w:rPr>
        <w:t> </w:t>
      </w:r>
      <w:r>
        <w:rPr>
          <w:color w:val="6E6158"/>
        </w:rPr>
        <w:t>Lawyers,</w:t>
      </w:r>
      <w:r>
        <w:rPr>
          <w:color w:val="6E6158"/>
          <w:spacing w:val="12"/>
        </w:rPr>
        <w:t> </w:t>
      </w:r>
      <w:r>
        <w:rPr>
          <w:color w:val="6E6158"/>
        </w:rPr>
        <w:t>Scene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S.A.,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spacing w:before="167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Labor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Employment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2013-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  <w:ind w:right="212"/>
      </w:pPr>
      <w:r>
        <w:rPr>
          <w:color w:val="6E6158"/>
        </w:rPr>
        <w:t>Best Lawyers in America®, San Antonio Lawyer of the Year, Labor Law – Management (2022), Employment</w:t>
      </w:r>
      <w:r>
        <w:rPr>
          <w:color w:val="6E6158"/>
          <w:spacing w:val="13"/>
        </w:rPr>
        <w:t> </w:t>
      </w:r>
      <w:r>
        <w:rPr>
          <w:color w:val="6E6158"/>
        </w:rPr>
        <w:t>Law</w:t>
      </w:r>
      <w:r>
        <w:rPr>
          <w:color w:val="6E6158"/>
          <w:spacing w:val="13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</w:rPr>
        <w:t>Management</w:t>
      </w:r>
      <w:r>
        <w:rPr>
          <w:color w:val="6E6158"/>
          <w:spacing w:val="14"/>
        </w:rPr>
        <w:t> </w:t>
      </w:r>
      <w:r>
        <w:rPr>
          <w:color w:val="6E6158"/>
        </w:rPr>
        <w:t>(2019,</w:t>
      </w:r>
      <w:r>
        <w:rPr>
          <w:color w:val="6E6158"/>
          <w:spacing w:val="13"/>
        </w:rPr>
        <w:t> </w:t>
      </w:r>
      <w:r>
        <w:rPr>
          <w:color w:val="6E6158"/>
        </w:rPr>
        <w:t>2027),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4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</w:rPr>
        <w:t>Labor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Employment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(2012)</w:t>
      </w:r>
    </w:p>
    <w:p>
      <w:pPr>
        <w:pStyle w:val="BodyText"/>
        <w:spacing w:before="131"/>
      </w:pP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Best</w:t>
      </w:r>
      <w:r>
        <w:rPr>
          <w:color w:val="6E6158"/>
          <w:spacing w:val="10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America®,</w:t>
      </w:r>
      <w:r>
        <w:rPr>
          <w:color w:val="6E6158"/>
          <w:spacing w:val="9"/>
        </w:rPr>
        <w:t> </w:t>
      </w:r>
      <w:r>
        <w:rPr>
          <w:color w:val="6E6158"/>
        </w:rPr>
        <w:t>2011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2027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 Labor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and Employment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Attorney,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Antonio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  <w:ind w:right="829"/>
      </w:pPr>
      <w:r>
        <w:rPr>
          <w:color w:val="6E6158"/>
        </w:rPr>
        <w:t>Panelist, “Crisis Management and the Role of Social Media,” 48th Annual </w:t>
      </w:r>
      <w:r>
        <w:rPr>
          <w:color w:val="6E6158"/>
        </w:rPr>
        <w:t>Corporate Counsel Institute, University of Texas Law CLE, April 23-24, 2026</w:t>
      </w:r>
    </w:p>
    <w:p>
      <w:pPr>
        <w:pStyle w:val="BodyText"/>
        <w:spacing w:line="292" w:lineRule="auto" w:before="113"/>
        <w:ind w:right="315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The Future of Remote Work</w:t>
        </w:r>
      </w:hyperlink>
      <w:r>
        <w:rPr>
          <w:color w:val="6E6158"/>
        </w:rPr>
        <w:t>,” The State Bar Litigation Section Report – The Advocate</w:t>
      </w:r>
      <w:r>
        <w:rPr>
          <w:color w:val="6E6158"/>
          <w:spacing w:val="80"/>
        </w:rPr>
        <w:t> </w:t>
      </w:r>
      <w:r>
        <w:rPr>
          <w:color w:val="6E6158"/>
        </w:rPr>
        <w:t>in the Volume 110, Spring 2025 edition</w:t>
      </w:r>
    </w:p>
    <w:p>
      <w:pPr>
        <w:pStyle w:val="BodyText"/>
        <w:spacing w:line="302" w:lineRule="auto" w:before="123"/>
        <w:ind w:right="245"/>
      </w:pPr>
      <w:r>
        <w:rPr>
          <w:color w:val="6E6158"/>
        </w:rPr>
        <w:t>Presenter, “Practical Litigation,” 32nd Annual Advanced Employment Law Conference, </w:t>
      </w:r>
      <w:r>
        <w:rPr>
          <w:color w:val="6E6158"/>
        </w:rPr>
        <w:t>January 11, 2024</w:t>
      </w:r>
    </w:p>
    <w:p>
      <w:pPr>
        <w:pStyle w:val="BodyText"/>
        <w:spacing w:before="113"/>
      </w:pPr>
      <w:r>
        <w:rPr>
          <w:color w:val="6E6158"/>
        </w:rPr>
        <w:t>Presenter,</w:t>
      </w:r>
      <w:r>
        <w:rPr>
          <w:color w:val="6E6158"/>
          <w:spacing w:val="12"/>
        </w:rPr>
        <w:t> </w:t>
      </w:r>
      <w:r>
        <w:rPr>
          <w:color w:val="6E6158"/>
        </w:rPr>
        <w:t>“Workplace</w:t>
      </w:r>
      <w:r>
        <w:rPr>
          <w:color w:val="6E6158"/>
          <w:spacing w:val="13"/>
        </w:rPr>
        <w:t> </w:t>
      </w:r>
      <w:r>
        <w:rPr>
          <w:color w:val="6E6158"/>
        </w:rPr>
        <w:t>Accommodations</w:t>
      </w:r>
      <w:r>
        <w:rPr>
          <w:color w:val="6E6158"/>
          <w:spacing w:val="12"/>
        </w:rPr>
        <w:t> </w:t>
      </w:r>
      <w:r>
        <w:rPr>
          <w:color w:val="6E6158"/>
        </w:rPr>
        <w:t>Under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Federal</w:t>
      </w:r>
      <w:r>
        <w:rPr>
          <w:color w:val="6E6158"/>
          <w:spacing w:val="13"/>
        </w:rPr>
        <w:t> </w:t>
      </w:r>
      <w:r>
        <w:rPr>
          <w:color w:val="6E6158"/>
        </w:rPr>
        <w:t>Law,</w:t>
      </w:r>
      <w:r>
        <w:rPr>
          <w:color w:val="6E6158"/>
          <w:spacing w:val="12"/>
        </w:rPr>
        <w:t> </w:t>
      </w:r>
      <w:r>
        <w:rPr>
          <w:color w:val="6E6158"/>
        </w:rPr>
        <w:t>Including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New</w:t>
      </w:r>
    </w:p>
    <w:p>
      <w:pPr>
        <w:pStyle w:val="BodyText"/>
        <w:spacing w:line="302" w:lineRule="auto" w:before="52"/>
      </w:pPr>
      <w:r>
        <w:rPr>
          <w:color w:val="6E6158"/>
        </w:rPr>
        <w:t>Pregnant Workers Fairness Act,” State Bar of Texas Labor &amp; Employment Law Section 33rd Annual</w:t>
      </w:r>
      <w:r>
        <w:rPr>
          <w:color w:val="6E6158"/>
          <w:spacing w:val="40"/>
        </w:rPr>
        <w:t> </w:t>
      </w:r>
      <w:r>
        <w:rPr>
          <w:color w:val="6E6158"/>
        </w:rPr>
        <w:t>Labor and Employment Law Institute, August 26, 2023</w:t>
      </w:r>
    </w:p>
    <w:p>
      <w:pPr>
        <w:pStyle w:val="BodyText"/>
        <w:spacing w:line="292" w:lineRule="auto" w:before="113"/>
        <w:ind w:right="315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COVID-19’s Impact on the Practice of Employment Law</w:t>
        </w:r>
      </w:hyperlink>
      <w:r>
        <w:rPr>
          <w:color w:val="6E6158"/>
        </w:rPr>
        <w:t>,” Texas Bar Journal, </w:t>
      </w:r>
      <w:r>
        <w:rPr>
          <w:color w:val="6E6158"/>
        </w:rPr>
        <w:t>May </w:t>
      </w:r>
      <w:r>
        <w:rPr>
          <w:color w:val="6E6158"/>
          <w:spacing w:val="-4"/>
        </w:rPr>
        <w:t>2022</w:t>
      </w:r>
    </w:p>
    <w:p>
      <w:pPr>
        <w:pStyle w:val="BodyText"/>
        <w:spacing w:line="302" w:lineRule="auto" w:before="123"/>
        <w:ind w:right="245"/>
      </w:pPr>
      <w:r>
        <w:rPr>
          <w:color w:val="6E6158"/>
        </w:rPr>
        <w:t>Presenter, “Not My Employee: The Legal Realities of a Contingent Workforce,” State Bar of Texas, 30th Annual Advanced Employment Law Course, April 22, 2022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Life</w:t>
      </w:r>
      <w:r>
        <w:rPr>
          <w:color w:val="6E6158"/>
          <w:spacing w:val="7"/>
        </w:rPr>
        <w:t> </w:t>
      </w:r>
      <w:r>
        <w:rPr>
          <w:color w:val="6E6158"/>
        </w:rPr>
        <w:t>Fellow,</w:t>
      </w:r>
      <w:r>
        <w:rPr>
          <w:color w:val="6E6158"/>
          <w:spacing w:val="7"/>
        </w:rPr>
        <w:t> </w:t>
      </w:r>
      <w:r>
        <w:rPr>
          <w:color w:val="6E6158"/>
        </w:rPr>
        <w:t>Texas</w:t>
      </w:r>
      <w:r>
        <w:rPr>
          <w:color w:val="6E6158"/>
          <w:spacing w:val="7"/>
        </w:rPr>
        <w:t> </w:t>
      </w:r>
      <w:r>
        <w:rPr>
          <w:color w:val="6E6158"/>
        </w:rPr>
        <w:t>Bar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74"/>
      </w:pPr>
      <w:r>
        <w:rPr>
          <w:color w:val="6E6158"/>
        </w:rPr>
        <w:t>Life</w:t>
      </w:r>
      <w:r>
        <w:rPr>
          <w:color w:val="6E6158"/>
          <w:spacing w:val="10"/>
        </w:rPr>
        <w:t> </w:t>
      </w:r>
      <w:r>
        <w:rPr>
          <w:color w:val="6E6158"/>
        </w:rPr>
        <w:t>Fellow,</w:t>
      </w:r>
      <w:r>
        <w:rPr>
          <w:color w:val="6E6158"/>
          <w:spacing w:val="10"/>
        </w:rPr>
        <w:t> </w:t>
      </w:r>
      <w:r>
        <w:rPr>
          <w:color w:val="6E6158"/>
        </w:rPr>
        <w:t>San</w:t>
      </w:r>
      <w:r>
        <w:rPr>
          <w:color w:val="6E6158"/>
          <w:spacing w:val="10"/>
        </w:rPr>
        <w:t> </w:t>
      </w:r>
      <w:r>
        <w:rPr>
          <w:color w:val="6E6158"/>
        </w:rPr>
        <w:t>Antonio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line="427" w:lineRule="auto" w:before="173"/>
        <w:ind w:right="829"/>
      </w:pPr>
      <w:r>
        <w:rPr>
          <w:color w:val="6E6158"/>
        </w:rPr>
        <w:t>Member, State Bar of Texas Labor and Employment Law Section Council (2022 – 2024) Member, Texas Board of Legal Specialization – Labor &amp; Employment Law Exam Commission</w:t>
      </w:r>
    </w:p>
    <w:p>
      <w:pPr>
        <w:pStyle w:val="BodyText"/>
        <w:spacing w:line="292" w:lineRule="auto"/>
      </w:pPr>
      <w:r>
        <w:rPr>
          <w:color w:val="6E6158"/>
        </w:rPr>
        <w:t>Scholarship Task Force Member (2022) and Scholarship Committee Member, San Antonio Bar Foundation (2023)</w:t>
      </w:r>
    </w:p>
    <w:p>
      <w:pPr>
        <w:pStyle w:val="BodyText"/>
        <w:spacing w:line="420" w:lineRule="auto" w:before="124"/>
        <w:ind w:right="829"/>
      </w:pPr>
      <w:r>
        <w:rPr>
          <w:color w:val="6E6158"/>
        </w:rPr>
        <w:t>Symposium and Seminars Co-Chair, LEAD Academy Steering Committee (2016 – </w:t>
      </w:r>
      <w:r>
        <w:rPr>
          <w:color w:val="6E6158"/>
        </w:rPr>
        <w:t>2022) Board Member, San Antonio Bar Association (2014 – 2018)</w:t>
      </w:r>
    </w:p>
    <w:p>
      <w:pPr>
        <w:pStyle w:val="BodyText"/>
        <w:spacing w:after="0" w:line="420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Past</w:t>
      </w:r>
      <w:r>
        <w:rPr>
          <w:color w:val="6E6158"/>
          <w:spacing w:val="10"/>
        </w:rPr>
        <w:t> </w:t>
      </w:r>
      <w:r>
        <w:rPr>
          <w:color w:val="6E6158"/>
        </w:rPr>
        <w:t>President</w:t>
      </w:r>
      <w:r>
        <w:rPr>
          <w:color w:val="6E6158"/>
          <w:spacing w:val="10"/>
        </w:rPr>
        <w:t> </w:t>
      </w:r>
      <w:r>
        <w:rPr>
          <w:color w:val="6E6158"/>
        </w:rPr>
        <w:t>(2010)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Bexar</w:t>
      </w:r>
      <w:r>
        <w:rPr>
          <w:color w:val="6E6158"/>
          <w:spacing w:val="10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</w:rPr>
        <w:t>Women’s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Association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66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Appeals,</w:t>
      </w:r>
      <w:r>
        <w:rPr>
          <w:color w:val="6E6158"/>
          <w:spacing w:val="9"/>
        </w:rPr>
        <w:t> </w:t>
      </w:r>
      <w:r>
        <w:rPr>
          <w:color w:val="6E6158"/>
        </w:rPr>
        <w:t>5</w:t>
      </w:r>
      <w:r>
        <w:rPr>
          <w:color w:val="6E6158"/>
          <w:position w:val="7"/>
          <w:sz w:val="16"/>
        </w:rPr>
        <w:t>th</w:t>
      </w:r>
      <w:r>
        <w:rPr>
          <w:color w:val="6E6158"/>
          <w:spacing w:val="17"/>
          <w:position w:val="7"/>
          <w:sz w:val="16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67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10</w:t>
      </w:r>
      <w:r>
        <w:rPr>
          <w:color w:val="6E6158"/>
          <w:position w:val="7"/>
          <w:sz w:val="16"/>
        </w:rPr>
        <w:t>th</w:t>
      </w:r>
      <w:r>
        <w:rPr>
          <w:color w:val="6E6158"/>
          <w:spacing w:val="17"/>
          <w:position w:val="7"/>
          <w:sz w:val="16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creinhard@fennemorelaw.com" TargetMode="External"/><Relationship Id="rId11" Type="http://schemas.openxmlformats.org/officeDocument/2006/relationships/hyperlink" Target="https://sr-llp.com/wp-content/uploads/2025/04/The-Future-of-Remote-Work.pdf" TargetMode="External"/><Relationship Id="rId12" Type="http://schemas.openxmlformats.org/officeDocument/2006/relationships/hyperlink" Target="https://sr-llp.com/wp-content/uploads/2022/05/Texas-Bar-Journal-COVID-19-Impact-on-the-Practive-of-Employment-Law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Christine Reinhard - Fennemore</dc:title>
  <dcterms:created xsi:type="dcterms:W3CDTF">2026-10-05T13:16:12Z</dcterms:created>
  <dcterms:modified xsi:type="dcterms:W3CDTF">2026-10-05T13:16:12Z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