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Dallas Fox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DALLAS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9"/>
                                </w:rPr>
                                <w:t>FOX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Trusts &amp;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Estates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602.916.5363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602.916.5999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dfox@fennemorelaw.com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Dallas Fox bio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77;top:2156;width:2784;height:505" id="docshape5" coordorigin="5778,2156" coordsize="2784,505" path="m8561,2653l5778,2653,5778,2661,8561,2661,8561,2653xm8561,2156l5778,2156,5778,2165,8561,2165,8561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DALLAS </w:t>
                        </w:r>
                        <w:r>
                          <w:rPr>
                            <w:color w:val="FFFFFF"/>
                            <w:spacing w:val="-5"/>
                            <w:sz w:val="39"/>
                          </w:rPr>
                          <w:t>FOX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Trusts &amp;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Estates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602.916.5363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602.916.5999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dfox@fennemorelaw.com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DALLAS</w:t>
      </w:r>
      <w:r>
        <w:rPr>
          <w:color w:val="FF8100"/>
          <w:spacing w:val="9"/>
        </w:rPr>
        <w:t> </w:t>
      </w:r>
      <w:r>
        <w:rPr>
          <w:color w:val="FF8100"/>
          <w:spacing w:val="-5"/>
        </w:rPr>
        <w:t>FOX</w:t>
      </w:r>
    </w:p>
    <w:p>
      <w:pPr>
        <w:pStyle w:val="BodyText"/>
        <w:spacing w:line="297" w:lineRule="auto" w:before="147"/>
        <w:ind w:right="554"/>
      </w:pPr>
      <w:r>
        <w:rPr>
          <w:color w:val="6E6158"/>
        </w:rPr>
        <w:t>Dallas Fox is a Trusts &amp; Estates attorney at Fennemore who helps individuals and families develop</w:t>
      </w:r>
      <w:r>
        <w:rPr>
          <w:color w:val="6E6158"/>
          <w:spacing w:val="40"/>
        </w:rPr>
        <w:t> </w:t>
      </w:r>
      <w:r>
        <w:rPr>
          <w:color w:val="6E6158"/>
        </w:rPr>
        <w:t>comprehensive</w:t>
      </w:r>
      <w:r>
        <w:rPr>
          <w:color w:val="6E6158"/>
          <w:spacing w:val="29"/>
        </w:rPr>
        <w:t> </w:t>
      </w:r>
      <w:r>
        <w:rPr>
          <w:color w:val="6E6158"/>
        </w:rPr>
        <w:t>estate</w:t>
      </w:r>
      <w:r>
        <w:rPr>
          <w:color w:val="6E6158"/>
          <w:spacing w:val="29"/>
        </w:rPr>
        <w:t> </w:t>
      </w:r>
      <w:r>
        <w:rPr>
          <w:color w:val="6E6158"/>
        </w:rPr>
        <w:t>plans,</w:t>
      </w:r>
      <w:r>
        <w:rPr>
          <w:color w:val="6E6158"/>
          <w:spacing w:val="29"/>
        </w:rPr>
        <w:t> </w:t>
      </w:r>
      <w:r>
        <w:rPr>
          <w:color w:val="6E6158"/>
        </w:rPr>
        <w:t>protect</w:t>
      </w:r>
      <w:r>
        <w:rPr>
          <w:color w:val="6E6158"/>
          <w:spacing w:val="29"/>
        </w:rPr>
        <w:t> </w:t>
      </w:r>
      <w:r>
        <w:rPr>
          <w:color w:val="6E6158"/>
        </w:rPr>
        <w:t>assets,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transfer</w:t>
      </w:r>
      <w:r>
        <w:rPr>
          <w:color w:val="6E6158"/>
          <w:spacing w:val="29"/>
        </w:rPr>
        <w:t> </w:t>
      </w:r>
      <w:r>
        <w:rPr>
          <w:color w:val="6E6158"/>
        </w:rPr>
        <w:t>wealth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future</w:t>
      </w:r>
      <w:r>
        <w:rPr>
          <w:color w:val="6E6158"/>
          <w:spacing w:val="29"/>
        </w:rPr>
        <w:t> </w:t>
      </w:r>
      <w:r>
        <w:rPr>
          <w:color w:val="6E6158"/>
        </w:rPr>
        <w:t>generations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a</w:t>
      </w:r>
      <w:r>
        <w:rPr>
          <w:color w:val="6E6158"/>
          <w:spacing w:val="29"/>
        </w:rPr>
        <w:t> </w:t>
      </w:r>
      <w:r>
        <w:rPr>
          <w:color w:val="6E6158"/>
        </w:rPr>
        <w:t>tax-efficient manner. Born and raised in Cave Creek, Arizona, and admitted to practice in Arizona</w:t>
      </w:r>
      <w:r>
        <w:rPr>
          <w:color w:val="6E6158"/>
          <w:spacing w:val="40"/>
        </w:rPr>
        <w:t> </w:t>
      </w:r>
      <w:r>
        <w:rPr>
          <w:color w:val="6E6158"/>
        </w:rPr>
        <w:t>and California, Dallas prepares estate planning documents paired with summary diagrams that</w:t>
      </w:r>
      <w:r>
        <w:rPr>
          <w:color w:val="6E6158"/>
          <w:spacing w:val="40"/>
        </w:rPr>
        <w:t> </w:t>
      </w:r>
      <w:r>
        <w:rPr>
          <w:color w:val="6E6158"/>
        </w:rPr>
        <w:t>illustrate the overall estate plan using a clear, straightforward approach.</w:t>
      </w:r>
    </w:p>
    <w:p>
      <w:pPr>
        <w:pStyle w:val="BodyText"/>
        <w:spacing w:line="295" w:lineRule="auto" w:before="191"/>
        <w:ind w:right="764"/>
      </w:pPr>
      <w:r>
        <w:rPr>
          <w:color w:val="6E6158"/>
        </w:rPr>
        <w:t>Dallas has experience preparing revocable trusts, wills, and powers of attorney. He also assists</w:t>
      </w:r>
      <w:r>
        <w:rPr>
          <w:color w:val="6E6158"/>
          <w:spacing w:val="40"/>
        </w:rPr>
        <w:t> </w:t>
      </w:r>
      <w:r>
        <w:rPr>
          <w:color w:val="6E6158"/>
        </w:rPr>
        <w:t>clients in establishing irrevocable trusts for tax-planning and creditor-protection purposes, </w:t>
      </w:r>
      <w:r>
        <w:rPr>
          <w:color w:val="6E6158"/>
        </w:rPr>
        <w:t>such</w:t>
      </w:r>
      <w:r>
        <w:rPr>
          <w:color w:val="6E6158"/>
          <w:spacing w:val="40"/>
        </w:rPr>
        <w:t> </w:t>
      </w:r>
      <w:r>
        <w:rPr>
          <w:color w:val="6E6158"/>
        </w:rPr>
        <w:t>as spousal lifetime access trusts (SLATs), intentionally defective grantor trusts (IDGTs), and irrevocable life insurance trusts (ILITs).</w:t>
      </w:r>
    </w:p>
    <w:p>
      <w:pPr>
        <w:pStyle w:val="BodyText"/>
        <w:spacing w:line="295" w:lineRule="auto" w:before="197"/>
        <w:ind w:right="764"/>
      </w:pPr>
      <w:r>
        <w:rPr>
          <w:color w:val="6E6158"/>
        </w:rPr>
        <w:t>Known for a detail-oriented and responsive approach to client service, Dallas works closely with</w:t>
      </w:r>
      <w:r>
        <w:rPr>
          <w:color w:val="6E6158"/>
          <w:spacing w:val="40"/>
        </w:rPr>
        <w:t> </w:t>
      </w:r>
      <w:r>
        <w:rPr>
          <w:color w:val="6E6158"/>
        </w:rPr>
        <w:t>clients</w:t>
      </w:r>
      <w:r>
        <w:rPr>
          <w:color w:val="6E6158"/>
          <w:spacing w:val="37"/>
        </w:rPr>
        <w:t> </w:t>
      </w:r>
      <w:r>
        <w:rPr>
          <w:color w:val="6E6158"/>
        </w:rPr>
        <w:t>throughout</w:t>
      </w:r>
      <w:r>
        <w:rPr>
          <w:color w:val="6E6158"/>
          <w:spacing w:val="37"/>
        </w:rPr>
        <w:t> </w:t>
      </w:r>
      <w:r>
        <w:rPr>
          <w:color w:val="6E6158"/>
        </w:rPr>
        <w:t>the</w:t>
      </w:r>
      <w:r>
        <w:rPr>
          <w:color w:val="6E6158"/>
          <w:spacing w:val="37"/>
        </w:rPr>
        <w:t> </w:t>
      </w:r>
      <w:r>
        <w:rPr>
          <w:color w:val="6E6158"/>
        </w:rPr>
        <w:t>estate</w:t>
      </w:r>
      <w:r>
        <w:rPr>
          <w:color w:val="6E6158"/>
          <w:spacing w:val="37"/>
        </w:rPr>
        <w:t> </w:t>
      </w:r>
      <w:r>
        <w:rPr>
          <w:color w:val="6E6158"/>
        </w:rPr>
        <w:t>planning</w:t>
      </w:r>
      <w:r>
        <w:rPr>
          <w:color w:val="6E6158"/>
          <w:spacing w:val="37"/>
        </w:rPr>
        <w:t> </w:t>
      </w:r>
      <w:r>
        <w:rPr>
          <w:color w:val="6E6158"/>
        </w:rPr>
        <w:t>process,</w:t>
      </w:r>
      <w:r>
        <w:rPr>
          <w:color w:val="6E6158"/>
          <w:spacing w:val="37"/>
        </w:rPr>
        <w:t> </w:t>
      </w:r>
      <w:r>
        <w:rPr>
          <w:color w:val="6E6158"/>
        </w:rPr>
        <w:t>from</w:t>
      </w:r>
      <w:r>
        <w:rPr>
          <w:color w:val="6E6158"/>
          <w:spacing w:val="37"/>
        </w:rPr>
        <w:t> </w:t>
      </w:r>
      <w:r>
        <w:rPr>
          <w:color w:val="6E6158"/>
        </w:rPr>
        <w:t>initial</w:t>
      </w:r>
      <w:r>
        <w:rPr>
          <w:color w:val="6E6158"/>
          <w:spacing w:val="37"/>
        </w:rPr>
        <w:t> </w:t>
      </w:r>
      <w:r>
        <w:rPr>
          <w:color w:val="6E6158"/>
        </w:rPr>
        <w:t>planning</w:t>
      </w:r>
      <w:r>
        <w:rPr>
          <w:color w:val="6E6158"/>
          <w:spacing w:val="37"/>
        </w:rPr>
        <w:t> </w:t>
      </w:r>
      <w:r>
        <w:rPr>
          <w:color w:val="6E6158"/>
        </w:rPr>
        <w:t>through</w:t>
      </w:r>
      <w:r>
        <w:rPr>
          <w:color w:val="6E6158"/>
          <w:spacing w:val="37"/>
        </w:rPr>
        <w:t> </w:t>
      </w:r>
      <w:r>
        <w:rPr>
          <w:color w:val="6E6158"/>
        </w:rPr>
        <w:t>document execution and trust funding. Dallas brings a strong foundation in estate and gift taxation,</w:t>
      </w:r>
      <w:r>
        <w:rPr>
          <w:color w:val="6E6158"/>
          <w:spacing w:val="40"/>
        </w:rPr>
        <w:t> </w:t>
      </w:r>
      <w:r>
        <w:rPr>
          <w:color w:val="6E6158"/>
        </w:rPr>
        <w:t>advanced estate planning, and community property law to help clients navigate complex</w:t>
      </w:r>
      <w:r>
        <w:rPr>
          <w:color w:val="6E6158"/>
          <w:spacing w:val="40"/>
        </w:rPr>
        <w:t> </w:t>
      </w:r>
      <w:r>
        <w:rPr>
          <w:color w:val="6E6158"/>
        </w:rPr>
        <w:t>planning considerations.</w:t>
      </w:r>
    </w:p>
    <w:p>
      <w:pPr>
        <w:pStyle w:val="BodyText"/>
        <w:spacing w:before="194"/>
      </w:pPr>
      <w:r>
        <w:rPr>
          <w:color w:val="6E6158"/>
        </w:rPr>
        <w:t>Outside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office,</w:t>
      </w:r>
      <w:r>
        <w:rPr>
          <w:color w:val="6E6158"/>
          <w:spacing w:val="11"/>
        </w:rPr>
        <w:t> </w:t>
      </w:r>
      <w:r>
        <w:rPr>
          <w:color w:val="6E6158"/>
        </w:rPr>
        <w:t>Dallas</w:t>
      </w:r>
      <w:r>
        <w:rPr>
          <w:color w:val="6E6158"/>
          <w:spacing w:val="11"/>
        </w:rPr>
        <w:t> </w:t>
      </w:r>
      <w:r>
        <w:rPr>
          <w:color w:val="6E6158"/>
        </w:rPr>
        <w:t>is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lifelong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Cardinals</w:t>
      </w:r>
      <w:r>
        <w:rPr>
          <w:color w:val="6E6158"/>
          <w:spacing w:val="12"/>
        </w:rPr>
        <w:t> </w:t>
      </w:r>
      <w:r>
        <w:rPr>
          <w:color w:val="6E6158"/>
        </w:rPr>
        <w:t>season</w:t>
      </w:r>
      <w:r>
        <w:rPr>
          <w:color w:val="6E6158"/>
          <w:spacing w:val="11"/>
        </w:rPr>
        <w:t> </w:t>
      </w:r>
      <w:r>
        <w:rPr>
          <w:color w:val="6E6158"/>
        </w:rPr>
        <w:t>ticket</w:t>
      </w:r>
      <w:r>
        <w:rPr>
          <w:color w:val="6E6158"/>
          <w:spacing w:val="11"/>
        </w:rPr>
        <w:t> </w:t>
      </w:r>
      <w:r>
        <w:rPr>
          <w:color w:val="6E6158"/>
        </w:rPr>
        <w:t>holder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supporter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U.S.</w:t>
      </w:r>
    </w:p>
    <w:p>
      <w:pPr>
        <w:pStyle w:val="BodyText"/>
        <w:spacing w:line="302" w:lineRule="auto" w:before="52"/>
        <w:ind w:right="764"/>
      </w:pPr>
      <w:r>
        <w:rPr>
          <w:color w:val="6E6158"/>
        </w:rPr>
        <w:t>Soccer. When he is not cheering from the stands, he enjoys dining at new restaurants with his</w:t>
      </w:r>
      <w:r>
        <w:rPr>
          <w:color w:val="6E6158"/>
          <w:spacing w:val="40"/>
        </w:rPr>
        <w:t> </w:t>
      </w:r>
      <w:r>
        <w:rPr>
          <w:color w:val="6E6158"/>
        </w:rPr>
        <w:t>wife, Madison, and spending time with their Italian greyhound, Yvie.</w:t>
      </w:r>
    </w:p>
    <w:p>
      <w:pPr>
        <w:pStyle w:val="Heading1"/>
        <w:spacing w:before="152"/>
      </w:pPr>
      <w:r>
        <w:rPr>
          <w:color w:val="FF8100"/>
          <w:spacing w:val="-2"/>
        </w:rPr>
        <w:t>EDUCATION</w:t>
      </w:r>
    </w:p>
    <w:p>
      <w:pPr>
        <w:pStyle w:val="BodyText"/>
        <w:spacing w:before="18"/>
        <w:ind w:left="0"/>
        <w:rPr>
          <w:b/>
        </w:rPr>
      </w:pPr>
    </w:p>
    <w:p>
      <w:pPr>
        <w:pStyle w:val="BodyText"/>
        <w:rPr>
          <w:i/>
          <w:sz w:val="20"/>
        </w:rPr>
      </w:pPr>
      <w:r>
        <w:rPr>
          <w:color w:val="6E6158"/>
        </w:rPr>
        <w:t>J.D.,</w:t>
      </w:r>
      <w:r>
        <w:rPr>
          <w:color w:val="6E6158"/>
          <w:spacing w:val="7"/>
        </w:rPr>
        <w:t> </w:t>
      </w:r>
      <w:r>
        <w:rPr>
          <w:color w:val="6E6158"/>
        </w:rPr>
        <w:t>Sandra</w:t>
      </w:r>
      <w:r>
        <w:rPr>
          <w:color w:val="6E6158"/>
          <w:spacing w:val="8"/>
        </w:rPr>
        <w:t> </w:t>
      </w:r>
      <w:r>
        <w:rPr>
          <w:color w:val="6E6158"/>
        </w:rPr>
        <w:t>Day</w:t>
      </w:r>
      <w:r>
        <w:rPr>
          <w:color w:val="6E6158"/>
          <w:spacing w:val="8"/>
        </w:rPr>
        <w:t> </w:t>
      </w:r>
      <w:r>
        <w:rPr>
          <w:color w:val="6E6158"/>
        </w:rPr>
        <w:t>O’Connor</w:t>
      </w:r>
      <w:r>
        <w:rPr>
          <w:color w:val="6E6158"/>
          <w:spacing w:val="7"/>
        </w:rPr>
        <w:t> </w:t>
      </w:r>
      <w:r>
        <w:rPr>
          <w:color w:val="6E6158"/>
        </w:rPr>
        <w:t>College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Law,</w:t>
      </w:r>
      <w:r>
        <w:rPr>
          <w:color w:val="6E6158"/>
          <w:spacing w:val="7"/>
        </w:rPr>
        <w:t> </w:t>
      </w:r>
      <w:r>
        <w:rPr>
          <w:color w:val="6E6158"/>
        </w:rPr>
        <w:t>Arizona</w:t>
      </w:r>
      <w:r>
        <w:rPr>
          <w:color w:val="6E6158"/>
          <w:spacing w:val="8"/>
        </w:rPr>
        <w:t> </w:t>
      </w:r>
      <w:r>
        <w:rPr>
          <w:color w:val="6E6158"/>
        </w:rPr>
        <w:t>State</w:t>
      </w:r>
      <w:r>
        <w:rPr>
          <w:color w:val="6E6158"/>
          <w:spacing w:val="8"/>
        </w:rPr>
        <w:t> </w:t>
      </w:r>
      <w:r>
        <w:rPr>
          <w:color w:val="6E6158"/>
        </w:rPr>
        <w:t>University,</w:t>
      </w:r>
      <w:r>
        <w:rPr>
          <w:color w:val="6E6158"/>
          <w:spacing w:val="7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47"/>
        <w:ind w:left="343"/>
      </w:pPr>
      <w:r>
        <w:rPr>
          <w:color w:val="6E6158"/>
        </w:rPr>
        <w:t>Order</w:t>
      </w:r>
      <w:r>
        <w:rPr>
          <w:color w:val="6E6158"/>
          <w:spacing w:val="7"/>
        </w:rPr>
        <w:t> </w:t>
      </w:r>
      <w:r>
        <w:rPr>
          <w:color w:val="6E6158"/>
        </w:rPr>
        <w:t>of</w:t>
      </w:r>
      <w:r>
        <w:rPr>
          <w:color w:val="6E6158"/>
          <w:spacing w:val="7"/>
        </w:rPr>
        <w:t> </w:t>
      </w:r>
      <w:r>
        <w:rPr>
          <w:color w:val="6E6158"/>
        </w:rPr>
        <w:t>the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Coif</w:t>
      </w:r>
    </w:p>
    <w:p>
      <w:pPr>
        <w:pStyle w:val="BodyText"/>
        <w:spacing w:line="292" w:lineRule="auto" w:before="182"/>
        <w:ind w:left="343"/>
      </w:pPr>
      <w:r>
        <w:rPr>
          <w:color w:val="6E6158"/>
        </w:rPr>
        <w:t>CALI Awards in Estate &amp; Gift Tax, Advanced Estate Planning, Federal Income Taxation, and Community Property</w:t>
      </w:r>
    </w:p>
    <w:p>
      <w:pPr>
        <w:pStyle w:val="BodyText"/>
        <w:spacing w:line="420" w:lineRule="auto" w:before="123"/>
        <w:ind w:left="343" w:right="3136"/>
      </w:pPr>
      <w:r>
        <w:rPr>
          <w:color w:val="6E6158"/>
        </w:rPr>
        <w:t>Staff Writer and Research Editor, Arizona State Law </w:t>
      </w:r>
      <w:r>
        <w:rPr>
          <w:color w:val="6E6158"/>
        </w:rPr>
        <w:t>Journal President, Corporate and Business Law Society</w:t>
      </w:r>
    </w:p>
    <w:p>
      <w:pPr>
        <w:pStyle w:val="BodyText"/>
        <w:spacing w:before="7"/>
      </w:pPr>
      <w:r>
        <w:rPr>
          <w:color w:val="6E6158"/>
        </w:rPr>
        <w:t>B.A.,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line="420" w:lineRule="auto" w:before="83"/>
        <w:ind w:right="8103"/>
      </w:pPr>
      <w:r>
        <w:rPr>
          <w:color w:val="6E6158"/>
        </w:rPr>
        <w:t>Trusts &amp; Estates Estate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Planning</w:t>
      </w:r>
    </w:p>
    <w:p>
      <w:pPr>
        <w:pStyle w:val="Heading1"/>
        <w:spacing w:before="290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8103"/>
      </w:pPr>
      <w:r>
        <w:rPr>
          <w:color w:val="6E6158"/>
          <w:spacing w:val="-2"/>
        </w:rPr>
        <w:t>Arizona California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trusts-estates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dfox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Dallas Fox - Fennemore</dc:title>
  <dcterms:created xsi:type="dcterms:W3CDTF">2026-10-28T15:40:49Z</dcterms:created>
  <dcterms:modified xsi:type="dcterms:W3CDTF">2026-10-28T15:40:49Z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Creator">
    <vt:lpwstr>Mozilla/5.0 (X11; Linux x86_64) AppleWebKit/537.36 (KHTML, like Gecko) HeadlessChrome/156.0.0.0 Safari/537.36</vt:lpwstr>
  </property>
  <property fmtid="{D5CDD505-2E9C-101B-9397-08002B2CF9AE}" pid="5" name="LastSaved">
    <vt:filetime>2026-10-28T00:00:00Z</vt:filetime>
  </property>
  <property fmtid="{D5CDD505-2E9C-101B-9397-08002B2CF9AE}" pid="6" name="Producer">
    <vt:lpwstr>Skia/PDF m156</vt:lpwstr>
  </property>
</Properties>
</file>