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2"/>
        <w:ind w:left="0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7488">
                <wp:simplePos x="0" y="0"/>
                <wp:positionH relativeFrom="page">
                  <wp:posOffset>848486</wp:posOffset>
                </wp:positionH>
                <wp:positionV relativeFrom="paragraph">
                  <wp:posOffset>-4455423</wp:posOffset>
                </wp:positionV>
                <wp:extent cx="6071870" cy="4539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539615"/>
                          <a:chExt cx="6071870" cy="45396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David Sieck v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12669" y="763308"/>
                            <a:ext cx="149479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39"/>
                                </w:rPr>
                                <w:t>DAVID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SIECK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70325" y="1859626"/>
                            <a:ext cx="1779905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602.916.5334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602.916.5999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dsieck@fennemorelaw.com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405006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368772" y="3482163"/>
                            <a:ext cx="3350260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0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choose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go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Moon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decade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things,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not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because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they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easy,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but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because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they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hard.</w:t>
                              </w:r>
                            </w:p>
                            <w:p>
                              <w:pPr>
                                <w:spacing w:before="1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John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F.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Kennedy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405006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0.820709pt;width:478.1pt;height:357.45pt;mso-position-horizontal-relative:page;mso-position-vertical-relative:paragraph;z-index:-15828992" id="docshapegroup1" coordorigin="1336,-7016" coordsize="9562,7149">
                <v:rect style="position:absolute;left:1336;top:-2468;width:9562;height:2360" id="docshape2" filled="true" fillcolor="#002e6d" stroked="false">
                  <v:fill type="solid"/>
                </v:rect>
                <v:shape style="position:absolute;left:1336;top:-7017;width:2165;height:424" type="#_x0000_t75" id="docshape3" alt="Fennemore" href="https://www.fennemorelaw.com/" stroked="false">
                  <v:imagedata r:id="rId5" o:title=""/>
                </v:shape>
                <v:shape style="position:absolute;left:1336;top:-6594;width:4785;height:4126" type="#_x0000_t75" id="docshape4" alt="David Sieck v2" stroked="false">
                  <v:imagedata r:id="rId7" o:title=""/>
                </v:shape>
                <v:rect style="position:absolute;left:6121;top:-6594;width:4777;height:4126" id="docshape5" filled="true" fillcolor="#262424" stroked="false">
                  <v:fill type="solid"/>
                </v:rect>
                <v:shape style="position:absolute;left:7113;top:-4860;width:2784;height:505" id="docshape6" coordorigin="7114,-4860" coordsize="2784,505" path="m9897,-4364l7114,-4364,7114,-4355,9897,-4355,9897,-4364xm9897,-4860l7114,-4860,7114,-4852,9897,-4852,9897,-486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40;top:-5815;width:2354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39"/>
                          </w:rPr>
                          <w:t>DAVID</w:t>
                        </w:r>
                        <w:r>
                          <w:rPr>
                            <w:color w:val="FFFFFF"/>
                            <w:spacing w:val="-18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SIECK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16;top:-4088;width:2803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602.916.5334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602.916.5999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dsieck@fennemorelaw.com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91;top:-1533;width:5276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0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choose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go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Moon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this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decade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other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things,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not </w:t>
                        </w:r>
                        <w:r>
                          <w:rPr>
                            <w:color w:val="FFFFFF"/>
                            <w:sz w:val="16"/>
                          </w:rPr>
                          <w:t>because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they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are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easy,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but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because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they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are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hard.</w:t>
                        </w:r>
                      </w:p>
                      <w:p>
                        <w:pPr>
                          <w:spacing w:before="1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John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F.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Kennedy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DAVID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SIECK</w:t>
      </w:r>
    </w:p>
    <w:p>
      <w:pPr>
        <w:pStyle w:val="BodyText"/>
        <w:spacing w:line="297" w:lineRule="auto" w:before="146"/>
        <w:ind w:right="307"/>
      </w:pPr>
      <w:r>
        <w:rPr>
          <w:color w:val="6E6158"/>
        </w:rPr>
        <w:t>David Sieck is an Associate attorney in the firm’s Labor &amp; Employment and Employee</w:t>
      </w:r>
      <w:r>
        <w:rPr>
          <w:color w:val="6E6158"/>
          <w:spacing w:val="40"/>
        </w:rPr>
        <w:t> </w:t>
      </w:r>
      <w:r>
        <w:rPr>
          <w:color w:val="6E6158"/>
        </w:rPr>
        <w:t>Benefits/ERISA practice groups based in the Phoenix office. His practice encompasses </w:t>
      </w:r>
      <w:r>
        <w:rPr>
          <w:color w:val="6E6158"/>
        </w:rPr>
        <w:t>both</w:t>
      </w:r>
      <w:r>
        <w:rPr>
          <w:color w:val="6E6158"/>
          <w:spacing w:val="40"/>
        </w:rPr>
        <w:t> </w:t>
      </w:r>
      <w:r>
        <w:rPr>
          <w:color w:val="6E6158"/>
        </w:rPr>
        <w:t>litigation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counseling</w:t>
      </w:r>
      <w:r>
        <w:rPr>
          <w:color w:val="6E6158"/>
          <w:spacing w:val="28"/>
        </w:rPr>
        <w:t> </w:t>
      </w:r>
      <w:r>
        <w:rPr>
          <w:color w:val="6E6158"/>
        </w:rPr>
        <w:t>on</w:t>
      </w:r>
      <w:r>
        <w:rPr>
          <w:color w:val="6E6158"/>
          <w:spacing w:val="28"/>
        </w:rPr>
        <w:t> </w:t>
      </w:r>
      <w:r>
        <w:rPr>
          <w:color w:val="6E6158"/>
        </w:rPr>
        <w:t>behalf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management</w:t>
      </w:r>
      <w:r>
        <w:rPr>
          <w:color w:val="6E6158"/>
          <w:spacing w:val="28"/>
        </w:rPr>
        <w:t> </w:t>
      </w:r>
      <w:r>
        <w:rPr>
          <w:color w:val="6E6158"/>
        </w:rPr>
        <w:t>across</w:t>
      </w:r>
      <w:r>
        <w:rPr>
          <w:color w:val="6E6158"/>
          <w:spacing w:val="28"/>
        </w:rPr>
        <w:t> </w:t>
      </w:r>
      <w:r>
        <w:rPr>
          <w:color w:val="6E6158"/>
        </w:rPr>
        <w:t>a</w:t>
      </w:r>
      <w:r>
        <w:rPr>
          <w:color w:val="6E6158"/>
          <w:spacing w:val="28"/>
        </w:rPr>
        <w:t> </w:t>
      </w:r>
      <w:r>
        <w:rPr>
          <w:color w:val="6E6158"/>
        </w:rPr>
        <w:t>broad</w:t>
      </w:r>
      <w:r>
        <w:rPr>
          <w:color w:val="6E6158"/>
          <w:spacing w:val="28"/>
        </w:rPr>
        <w:t> </w:t>
      </w:r>
      <w:r>
        <w:rPr>
          <w:color w:val="6E6158"/>
        </w:rPr>
        <w:t>range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labor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</w:p>
    <w:p>
      <w:pPr>
        <w:pStyle w:val="BodyText"/>
        <w:spacing w:line="229" w:lineRule="exact"/>
      </w:pPr>
      <w:r>
        <w:rPr>
          <w:color w:val="6E6158"/>
        </w:rPr>
        <w:t>employment</w:t>
      </w:r>
      <w:r>
        <w:rPr>
          <w:color w:val="6E6158"/>
          <w:spacing w:val="14"/>
        </w:rPr>
        <w:t> </w:t>
      </w:r>
      <w:r>
        <w:rPr>
          <w:color w:val="6E6158"/>
        </w:rPr>
        <w:t>matters,</w:t>
      </w:r>
      <w:r>
        <w:rPr>
          <w:color w:val="6E6158"/>
          <w:spacing w:val="14"/>
        </w:rPr>
        <w:t> </w:t>
      </w:r>
      <w:r>
        <w:rPr>
          <w:color w:val="6E6158"/>
        </w:rPr>
        <w:t>as</w:t>
      </w:r>
      <w:r>
        <w:rPr>
          <w:color w:val="6E6158"/>
          <w:spacing w:val="14"/>
        </w:rPr>
        <w:t> </w:t>
      </w:r>
      <w:r>
        <w:rPr>
          <w:color w:val="6E6158"/>
        </w:rPr>
        <w:t>well</w:t>
      </w:r>
      <w:r>
        <w:rPr>
          <w:color w:val="6E6158"/>
          <w:spacing w:val="14"/>
        </w:rPr>
        <w:t> </w:t>
      </w:r>
      <w:r>
        <w:rPr>
          <w:color w:val="6E6158"/>
        </w:rPr>
        <w:t>as</w:t>
      </w:r>
      <w:r>
        <w:rPr>
          <w:color w:val="6E6158"/>
          <w:spacing w:val="14"/>
        </w:rPr>
        <w:t> </w:t>
      </w:r>
      <w:r>
        <w:rPr>
          <w:color w:val="6E6158"/>
        </w:rPr>
        <w:t>employee</w:t>
      </w:r>
      <w:r>
        <w:rPr>
          <w:color w:val="6E6158"/>
          <w:spacing w:val="14"/>
        </w:rPr>
        <w:t> </w:t>
      </w:r>
      <w:r>
        <w:rPr>
          <w:color w:val="6E6158"/>
        </w:rPr>
        <w:t>benefits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ERISA-related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issues.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 w:before="1"/>
        <w:ind w:right="307"/>
      </w:pPr>
      <w:r>
        <w:rPr>
          <w:color w:val="6E6158"/>
        </w:rPr>
        <w:t>David’s employment practice focuses on litigation involving discrimination and retaliation </w:t>
      </w:r>
      <w:r>
        <w:rPr>
          <w:color w:val="6E6158"/>
        </w:rPr>
        <w:t>claims,</w:t>
      </w:r>
      <w:r>
        <w:rPr>
          <w:color w:val="6E6158"/>
          <w:spacing w:val="40"/>
        </w:rPr>
        <w:t> </w:t>
      </w:r>
      <w:r>
        <w:rPr>
          <w:color w:val="6E6158"/>
        </w:rPr>
        <w:t>disability accommodation matters, wage and hour disputes, and other claims arising under</w:t>
      </w:r>
      <w:r>
        <w:rPr>
          <w:color w:val="6E6158"/>
          <w:spacing w:val="40"/>
        </w:rPr>
        <w:t> </w:t>
      </w:r>
      <w:r>
        <w:rPr>
          <w:color w:val="6E6158"/>
        </w:rPr>
        <w:t>applicable federal, state, and local statutes. In addition to litigation, he regularly advises</w:t>
      </w:r>
      <w:r>
        <w:rPr>
          <w:color w:val="6E6158"/>
          <w:spacing w:val="80"/>
        </w:rPr>
        <w:t> </w:t>
      </w:r>
      <w:r>
        <w:rPr>
          <w:color w:val="6E6158"/>
        </w:rPr>
        <w:t>employers</w:t>
      </w:r>
      <w:r>
        <w:rPr>
          <w:color w:val="6E6158"/>
          <w:spacing w:val="40"/>
        </w:rPr>
        <w:t> </w:t>
      </w:r>
      <w:r>
        <w:rPr>
          <w:color w:val="6E6158"/>
        </w:rPr>
        <w:t>on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development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implementation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workplace</w:t>
      </w:r>
      <w:r>
        <w:rPr>
          <w:color w:val="6E6158"/>
          <w:spacing w:val="40"/>
        </w:rPr>
        <w:t> </w:t>
      </w:r>
      <w:r>
        <w:rPr>
          <w:color w:val="6E6158"/>
        </w:rPr>
        <w:t>policies,</w:t>
      </w:r>
      <w:r>
        <w:rPr>
          <w:color w:val="6E6158"/>
          <w:spacing w:val="40"/>
        </w:rPr>
        <w:t> </w:t>
      </w:r>
      <w:r>
        <w:rPr>
          <w:color w:val="6E6158"/>
        </w:rPr>
        <w:t>employee</w:t>
      </w:r>
    </w:p>
    <w:p>
      <w:pPr>
        <w:pStyle w:val="BodyText"/>
        <w:spacing w:line="292" w:lineRule="auto" w:before="10"/>
      </w:pPr>
      <w:r>
        <w:rPr>
          <w:color w:val="6E6158"/>
        </w:rPr>
        <w:t>handbooks, and employment agreements, with an emphasis on practical compliance and </w:t>
      </w:r>
      <w:r>
        <w:rPr>
          <w:color w:val="6E6158"/>
        </w:rPr>
        <w:t>risk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mitigation.</w:t>
      </w:r>
    </w:p>
    <w:p>
      <w:pPr>
        <w:pStyle w:val="BodyText"/>
        <w:spacing w:line="292" w:lineRule="auto" w:before="197"/>
        <w:ind w:right="307"/>
      </w:pPr>
      <w:r>
        <w:rPr>
          <w:color w:val="6E6158"/>
        </w:rPr>
        <w:t>David also maintains a robust employee benefits practice. He represents employers, </w:t>
      </w:r>
      <w:r>
        <w:rPr>
          <w:color w:val="6E6158"/>
        </w:rPr>
        <w:t>plan sponsors,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fiduciaries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litigation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counseling</w:t>
      </w:r>
      <w:r>
        <w:rPr>
          <w:color w:val="6E6158"/>
          <w:spacing w:val="30"/>
        </w:rPr>
        <w:t> </w:t>
      </w:r>
      <w:r>
        <w:rPr>
          <w:color w:val="6E6158"/>
        </w:rPr>
        <w:t>matters</w:t>
      </w:r>
      <w:r>
        <w:rPr>
          <w:color w:val="6E6158"/>
          <w:spacing w:val="30"/>
        </w:rPr>
        <w:t> </w:t>
      </w:r>
      <w:r>
        <w:rPr>
          <w:color w:val="6E6158"/>
        </w:rPr>
        <w:t>arising</w:t>
      </w:r>
      <w:r>
        <w:rPr>
          <w:color w:val="6E6158"/>
          <w:spacing w:val="30"/>
        </w:rPr>
        <w:t> </w:t>
      </w:r>
      <w:r>
        <w:rPr>
          <w:color w:val="6E6158"/>
        </w:rPr>
        <w:t>under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Employee</w:t>
      </w:r>
    </w:p>
    <w:p>
      <w:pPr>
        <w:pStyle w:val="BodyText"/>
        <w:spacing w:line="295" w:lineRule="auto" w:before="9"/>
        <w:ind w:right="307"/>
      </w:pPr>
      <w:r>
        <w:rPr>
          <w:color w:val="6E6158"/>
        </w:rPr>
        <w:t>Retirement Income Security Act of 1974, as amended (ERISA), the Internal Revenue Code, and</w:t>
      </w:r>
      <w:r>
        <w:rPr>
          <w:color w:val="6E6158"/>
          <w:spacing w:val="80"/>
        </w:rPr>
        <w:t> </w:t>
      </w:r>
      <w:r>
        <w:rPr>
          <w:color w:val="6E6158"/>
        </w:rPr>
        <w:t>the Multiemployer Pension Plan Amendments Act. In his counseling role, David advises clients </w:t>
      </w:r>
      <w:r>
        <w:rPr>
          <w:color w:val="6E6158"/>
        </w:rPr>
        <w:t>on</w:t>
      </w:r>
      <w:r>
        <w:rPr>
          <w:color w:val="6E6158"/>
          <w:spacing w:val="40"/>
        </w:rPr>
        <w:t> </w:t>
      </w:r>
      <w:r>
        <w:rPr>
          <w:color w:val="6E6158"/>
        </w:rPr>
        <w:t>plan governance and administration, including regulatory compliance for qualified retirement</w:t>
      </w:r>
      <w:r>
        <w:rPr>
          <w:color w:val="6E6158"/>
          <w:spacing w:val="40"/>
        </w:rPr>
        <w:t> </w:t>
      </w:r>
      <w:r>
        <w:rPr>
          <w:color w:val="6E6158"/>
        </w:rPr>
        <w:t>plans and welfare benefit plans. He regularly works directly with plan fiduciaries and has</w:t>
      </w:r>
      <w:r>
        <w:rPr>
          <w:color w:val="6E6158"/>
          <w:spacing w:val="40"/>
        </w:rPr>
        <w:t> </w:t>
      </w:r>
      <w:r>
        <w:rPr>
          <w:color w:val="6E6158"/>
        </w:rPr>
        <w:t>experience</w:t>
      </w:r>
      <w:r>
        <w:rPr>
          <w:color w:val="6E6158"/>
          <w:spacing w:val="35"/>
        </w:rPr>
        <w:t> </w:t>
      </w:r>
      <w:r>
        <w:rPr>
          <w:color w:val="6E6158"/>
        </w:rPr>
        <w:t>representing</w:t>
      </w:r>
      <w:r>
        <w:rPr>
          <w:color w:val="6E6158"/>
          <w:spacing w:val="35"/>
        </w:rPr>
        <w:t> </w:t>
      </w:r>
      <w:r>
        <w:rPr>
          <w:color w:val="6E6158"/>
        </w:rPr>
        <w:t>clients</w:t>
      </w:r>
      <w:r>
        <w:rPr>
          <w:color w:val="6E6158"/>
          <w:spacing w:val="35"/>
        </w:rPr>
        <w:t> </w:t>
      </w:r>
      <w:r>
        <w:rPr>
          <w:color w:val="6E6158"/>
        </w:rPr>
        <w:t>before</w:t>
      </w:r>
      <w:r>
        <w:rPr>
          <w:color w:val="6E6158"/>
          <w:spacing w:val="35"/>
        </w:rPr>
        <w:t> </w:t>
      </w:r>
      <w:r>
        <w:rPr>
          <w:color w:val="6E6158"/>
        </w:rPr>
        <w:t>the</w:t>
      </w:r>
      <w:r>
        <w:rPr>
          <w:color w:val="6E6158"/>
          <w:spacing w:val="35"/>
        </w:rPr>
        <w:t> </w:t>
      </w:r>
      <w:r>
        <w:rPr>
          <w:color w:val="6E6158"/>
        </w:rPr>
        <w:t>Internal</w:t>
      </w:r>
      <w:r>
        <w:rPr>
          <w:color w:val="6E6158"/>
          <w:spacing w:val="35"/>
        </w:rPr>
        <w:t> </w:t>
      </w:r>
      <w:r>
        <w:rPr>
          <w:color w:val="6E6158"/>
        </w:rPr>
        <w:t>Revenue</w:t>
      </w:r>
      <w:r>
        <w:rPr>
          <w:color w:val="6E6158"/>
          <w:spacing w:val="35"/>
        </w:rPr>
        <w:t> </w:t>
      </w:r>
      <w:r>
        <w:rPr>
          <w:color w:val="6E6158"/>
        </w:rPr>
        <w:t>Service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the</w:t>
      </w:r>
      <w:r>
        <w:rPr>
          <w:color w:val="6E6158"/>
          <w:spacing w:val="35"/>
        </w:rPr>
        <w:t> </w:t>
      </w:r>
      <w:r>
        <w:rPr>
          <w:color w:val="6E6158"/>
        </w:rPr>
        <w:t>United</w:t>
      </w:r>
      <w:r>
        <w:rPr>
          <w:color w:val="6E6158"/>
          <w:spacing w:val="35"/>
        </w:rPr>
        <w:t> </w:t>
      </w:r>
      <w:r>
        <w:rPr>
          <w:color w:val="6E6158"/>
        </w:rPr>
        <w:t>States</w:t>
      </w:r>
    </w:p>
    <w:p>
      <w:pPr>
        <w:pStyle w:val="BodyText"/>
        <w:spacing w:line="292" w:lineRule="auto"/>
      </w:pPr>
      <w:r>
        <w:rPr>
          <w:color w:val="6E6158"/>
        </w:rPr>
        <w:t>Department of Labor and in benefits related litigation matters.</w:t>
      </w:r>
      <w:r>
        <w:rPr>
          <w:color w:val="6E6158"/>
          <w:spacing w:val="80"/>
        </w:rPr>
        <w:t> </w:t>
      </w:r>
      <w:r>
        <w:rPr>
          <w:color w:val="6E6158"/>
        </w:rPr>
        <w:t>Prior to joining Fennemore, </w:t>
      </w:r>
      <w:r>
        <w:rPr>
          <w:color w:val="6E6158"/>
        </w:rPr>
        <w:t>David represented</w:t>
      </w:r>
      <w:r>
        <w:rPr>
          <w:color w:val="6E6158"/>
          <w:spacing w:val="35"/>
        </w:rPr>
        <w:t> </w:t>
      </w:r>
      <w:r>
        <w:rPr>
          <w:color w:val="6E6158"/>
        </w:rPr>
        <w:t>a</w:t>
      </w:r>
      <w:r>
        <w:rPr>
          <w:color w:val="6E6158"/>
          <w:spacing w:val="35"/>
        </w:rPr>
        <w:t> </w:t>
      </w:r>
      <w:r>
        <w:rPr>
          <w:color w:val="6E6158"/>
        </w:rPr>
        <w:t>number</w:t>
      </w:r>
      <w:r>
        <w:rPr>
          <w:color w:val="6E6158"/>
          <w:spacing w:val="35"/>
        </w:rPr>
        <w:t> </w:t>
      </w:r>
      <w:r>
        <w:rPr>
          <w:color w:val="6E6158"/>
        </w:rPr>
        <w:t>of</w:t>
      </w:r>
      <w:r>
        <w:rPr>
          <w:color w:val="6E6158"/>
          <w:spacing w:val="35"/>
        </w:rPr>
        <w:t> </w:t>
      </w:r>
      <w:r>
        <w:rPr>
          <w:color w:val="6E6158"/>
        </w:rPr>
        <w:t>multiemployer</w:t>
      </w:r>
      <w:r>
        <w:rPr>
          <w:color w:val="6E6158"/>
          <w:spacing w:val="35"/>
        </w:rPr>
        <w:t> </w:t>
      </w:r>
      <w:r>
        <w:rPr>
          <w:color w:val="6E6158"/>
        </w:rPr>
        <w:t>pension</w:t>
      </w:r>
      <w:r>
        <w:rPr>
          <w:color w:val="6E6158"/>
          <w:spacing w:val="35"/>
        </w:rPr>
        <w:t> </w:t>
      </w:r>
      <w:r>
        <w:rPr>
          <w:color w:val="6E6158"/>
        </w:rPr>
        <w:t>(including</w:t>
      </w:r>
      <w:r>
        <w:rPr>
          <w:color w:val="6E6158"/>
          <w:spacing w:val="35"/>
        </w:rPr>
        <w:t> </w:t>
      </w:r>
      <w:r>
        <w:rPr>
          <w:color w:val="6E6158"/>
        </w:rPr>
        <w:t>401(k)</w:t>
      </w:r>
      <w:r>
        <w:rPr>
          <w:color w:val="6E6158"/>
          <w:spacing w:val="35"/>
        </w:rPr>
        <w:t> </w:t>
      </w:r>
      <w:r>
        <w:rPr>
          <w:color w:val="6E6158"/>
        </w:rPr>
        <w:t>plans),</w:t>
      </w:r>
      <w:r>
        <w:rPr>
          <w:color w:val="6E6158"/>
          <w:spacing w:val="35"/>
        </w:rPr>
        <w:t> </w:t>
      </w:r>
      <w:r>
        <w:rPr>
          <w:color w:val="6E6158"/>
        </w:rPr>
        <w:t>health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welfare</w:t>
      </w:r>
    </w:p>
    <w:p>
      <w:pPr>
        <w:pStyle w:val="BodyText"/>
        <w:spacing w:line="292" w:lineRule="auto" w:before="9"/>
        <w:ind w:right="352"/>
      </w:pPr>
      <w:r>
        <w:rPr>
          <w:color w:val="6E6158"/>
        </w:rPr>
        <w:t>plans, and apprenticeship plans. In that role, he developed significant experience in </w:t>
      </w:r>
      <w:r>
        <w:rPr>
          <w:color w:val="6E6158"/>
        </w:rPr>
        <w:t>employer</w:t>
      </w:r>
      <w:r>
        <w:rPr>
          <w:color w:val="6E6158"/>
          <w:spacing w:val="40"/>
        </w:rPr>
        <w:t> </w:t>
      </w:r>
      <w:r>
        <w:rPr>
          <w:color w:val="6E6158"/>
        </w:rPr>
        <w:t>contribution issues, withdrawal liability, and plan administration matters.</w:t>
      </w:r>
    </w:p>
    <w:p>
      <w:pPr>
        <w:pStyle w:val="BodyText"/>
        <w:spacing w:line="292" w:lineRule="auto" w:before="196"/>
      </w:pPr>
      <w:r>
        <w:rPr>
          <w:color w:val="6E6158"/>
        </w:rPr>
        <w:t>Born and raised in Spokane, Washington, David considers himself a counselor at law. He’s</w:t>
      </w:r>
      <w:r>
        <w:rPr>
          <w:color w:val="6E6158"/>
          <w:spacing w:val="40"/>
        </w:rPr>
        <w:t> </w:t>
      </w:r>
      <w:r>
        <w:rPr>
          <w:color w:val="6E6158"/>
        </w:rPr>
        <w:t>comfortable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room</w:t>
      </w:r>
      <w:r>
        <w:rPr>
          <w:color w:val="6E6158"/>
          <w:spacing w:val="12"/>
        </w:rPr>
        <w:t> </w:t>
      </w:r>
      <w:r>
        <w:rPr>
          <w:color w:val="6E6158"/>
        </w:rPr>
        <w:t>with</w:t>
      </w:r>
      <w:r>
        <w:rPr>
          <w:color w:val="6E6158"/>
          <w:spacing w:val="12"/>
        </w:rPr>
        <w:t> </w:t>
      </w:r>
      <w:r>
        <w:rPr>
          <w:color w:val="6E6158"/>
        </w:rPr>
        <w:t>employees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one</w:t>
      </w:r>
      <w:r>
        <w:rPr>
          <w:color w:val="6E6158"/>
          <w:spacing w:val="12"/>
        </w:rPr>
        <w:t> </w:t>
      </w:r>
      <w:r>
        <w:rPr>
          <w:color w:val="6E6158"/>
        </w:rPr>
        <w:t>side,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management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other</w:t>
      </w:r>
      <w:r>
        <w:rPr>
          <w:color w:val="6E6158"/>
          <w:spacing w:val="12"/>
        </w:rPr>
        <w:t> </w:t>
      </w:r>
      <w:r>
        <w:rPr>
          <w:color w:val="6E6158"/>
        </w:rPr>
        <w:t>–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he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5" w:lineRule="auto" w:before="83"/>
      </w:pPr>
      <w:r>
        <w:rPr>
          <w:color w:val="6E6158"/>
        </w:rPr>
        <w:t>has the ability to understand, relate to and speak to both sides in a meaningful way that solves</w:t>
      </w:r>
      <w:r>
        <w:rPr>
          <w:color w:val="6E6158"/>
          <w:spacing w:val="40"/>
        </w:rPr>
        <w:t> </w:t>
      </w:r>
      <w:r>
        <w:rPr>
          <w:color w:val="6E6158"/>
        </w:rPr>
        <w:t>problems</w:t>
      </w:r>
      <w:r>
        <w:rPr>
          <w:color w:val="6E6158"/>
          <w:spacing w:val="21"/>
        </w:rPr>
        <w:t> </w:t>
      </w:r>
      <w:r>
        <w:rPr>
          <w:color w:val="6E6158"/>
        </w:rPr>
        <w:t>and</w:t>
      </w:r>
      <w:r>
        <w:rPr>
          <w:color w:val="6E6158"/>
          <w:spacing w:val="21"/>
        </w:rPr>
        <w:t> </w:t>
      </w:r>
      <w:r>
        <w:rPr>
          <w:color w:val="6E6158"/>
        </w:rPr>
        <w:t>finds</w:t>
      </w:r>
      <w:r>
        <w:rPr>
          <w:color w:val="6E6158"/>
          <w:spacing w:val="21"/>
        </w:rPr>
        <w:t> </w:t>
      </w:r>
      <w:r>
        <w:rPr>
          <w:color w:val="6E6158"/>
        </w:rPr>
        <w:t>solutions.</w:t>
      </w:r>
      <w:r>
        <w:rPr>
          <w:color w:val="6E6158"/>
          <w:spacing w:val="21"/>
        </w:rPr>
        <w:t> </w:t>
      </w:r>
      <w:r>
        <w:rPr>
          <w:color w:val="6E6158"/>
        </w:rPr>
        <w:t>His</w:t>
      </w:r>
      <w:r>
        <w:rPr>
          <w:color w:val="6E6158"/>
          <w:spacing w:val="21"/>
        </w:rPr>
        <w:t> </w:t>
      </w:r>
      <w:r>
        <w:rPr>
          <w:color w:val="6E6158"/>
        </w:rPr>
        <w:t>passion</w:t>
      </w:r>
      <w:r>
        <w:rPr>
          <w:color w:val="6E6158"/>
          <w:spacing w:val="21"/>
        </w:rPr>
        <w:t> </w:t>
      </w:r>
      <w:r>
        <w:rPr>
          <w:color w:val="6E6158"/>
        </w:rPr>
        <w:t>for</w:t>
      </w:r>
      <w:r>
        <w:rPr>
          <w:color w:val="6E6158"/>
          <w:spacing w:val="21"/>
        </w:rPr>
        <w:t> </w:t>
      </w:r>
      <w:r>
        <w:rPr>
          <w:color w:val="6E6158"/>
        </w:rPr>
        <w:t>employment</w:t>
      </w:r>
      <w:r>
        <w:rPr>
          <w:color w:val="6E6158"/>
          <w:spacing w:val="21"/>
        </w:rPr>
        <w:t> </w:t>
      </w:r>
      <w:r>
        <w:rPr>
          <w:color w:val="6E6158"/>
        </w:rPr>
        <w:t>and</w:t>
      </w:r>
      <w:r>
        <w:rPr>
          <w:color w:val="6E6158"/>
          <w:spacing w:val="21"/>
        </w:rPr>
        <w:t> </w:t>
      </w:r>
      <w:r>
        <w:rPr>
          <w:color w:val="6E6158"/>
        </w:rPr>
        <w:t>benefits</w:t>
      </w:r>
      <w:r>
        <w:rPr>
          <w:color w:val="6E6158"/>
          <w:spacing w:val="21"/>
        </w:rPr>
        <w:t> </w:t>
      </w:r>
      <w:r>
        <w:rPr>
          <w:color w:val="6E6158"/>
        </w:rPr>
        <w:t>law</w:t>
      </w:r>
      <w:r>
        <w:rPr>
          <w:color w:val="6E6158"/>
          <w:spacing w:val="21"/>
        </w:rPr>
        <w:t> </w:t>
      </w:r>
      <w:r>
        <w:rPr>
          <w:color w:val="6E6158"/>
        </w:rPr>
        <w:t>serve</w:t>
      </w:r>
      <w:r>
        <w:rPr>
          <w:color w:val="6E6158"/>
          <w:spacing w:val="21"/>
        </w:rPr>
        <w:t> </w:t>
      </w:r>
      <w:r>
        <w:rPr>
          <w:color w:val="6E6158"/>
        </w:rPr>
        <w:t>David</w:t>
      </w:r>
      <w:r>
        <w:rPr>
          <w:color w:val="6E6158"/>
          <w:spacing w:val="21"/>
        </w:rPr>
        <w:t> </w:t>
      </w:r>
      <w:r>
        <w:rPr>
          <w:color w:val="6E6158"/>
        </w:rPr>
        <w:t>well,</w:t>
      </w:r>
      <w:r>
        <w:rPr>
          <w:color w:val="6E6158"/>
          <w:spacing w:val="21"/>
        </w:rPr>
        <w:t> </w:t>
      </w:r>
      <w:r>
        <w:rPr>
          <w:color w:val="6E6158"/>
        </w:rPr>
        <w:t>and he enjoys the mix of transactional and litigation work needed by his clients – with an eye towards</w:t>
      </w:r>
      <w:r>
        <w:rPr>
          <w:color w:val="6E6158"/>
          <w:spacing w:val="40"/>
        </w:rPr>
        <w:t> </w:t>
      </w:r>
      <w:r>
        <w:rPr>
          <w:color w:val="6E6158"/>
        </w:rPr>
        <w:t>constantly improving and learning more.</w:t>
      </w:r>
    </w:p>
    <w:p>
      <w:pPr>
        <w:pStyle w:val="BodyText"/>
        <w:spacing w:line="292" w:lineRule="auto" w:before="197"/>
        <w:ind w:right="307"/>
      </w:pPr>
      <w:r>
        <w:rPr>
          <w:color w:val="6E6158"/>
        </w:rPr>
        <w:t>Outside of work, you’d better be a warrior if you want to keep up with David. He’s a Triathlete</w:t>
      </w:r>
      <w:r>
        <w:rPr>
          <w:color w:val="6E6158"/>
          <w:spacing w:val="40"/>
        </w:rPr>
        <w:t> </w:t>
      </w:r>
      <w:r>
        <w:rPr>
          <w:color w:val="6E6158"/>
        </w:rPr>
        <w:t>who</w:t>
      </w:r>
      <w:r>
        <w:rPr>
          <w:color w:val="6E6158"/>
          <w:spacing w:val="13"/>
        </w:rPr>
        <w:t> </w:t>
      </w:r>
      <w:r>
        <w:rPr>
          <w:color w:val="6E6158"/>
        </w:rPr>
        <w:t>has</w:t>
      </w:r>
      <w:r>
        <w:rPr>
          <w:color w:val="6E6158"/>
          <w:spacing w:val="14"/>
        </w:rPr>
        <w:t> </w:t>
      </w:r>
      <w:r>
        <w:rPr>
          <w:color w:val="6E6158"/>
        </w:rPr>
        <w:t>completed</w:t>
      </w:r>
      <w:r>
        <w:rPr>
          <w:color w:val="6E6158"/>
          <w:spacing w:val="14"/>
        </w:rPr>
        <w:t> </w:t>
      </w:r>
      <w:r>
        <w:rPr>
          <w:color w:val="6E6158"/>
        </w:rPr>
        <w:t>several</w:t>
      </w:r>
      <w:r>
        <w:rPr>
          <w:color w:val="6E6158"/>
          <w:spacing w:val="14"/>
        </w:rPr>
        <w:t> </w:t>
      </w:r>
      <w:r>
        <w:rPr>
          <w:color w:val="6E6158"/>
        </w:rPr>
        <w:t>full-iron</w:t>
      </w:r>
      <w:r>
        <w:rPr>
          <w:color w:val="6E6158"/>
          <w:spacing w:val="14"/>
        </w:rPr>
        <w:t> </w:t>
      </w:r>
      <w:r>
        <w:rPr>
          <w:color w:val="6E6158"/>
        </w:rPr>
        <w:t>distance</w:t>
      </w:r>
      <w:r>
        <w:rPr>
          <w:color w:val="6E6158"/>
          <w:spacing w:val="14"/>
        </w:rPr>
        <w:t> </w:t>
      </w:r>
      <w:r>
        <w:rPr>
          <w:color w:val="6E6158"/>
        </w:rPr>
        <w:t>Triathlons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numerous</w:t>
      </w:r>
      <w:r>
        <w:rPr>
          <w:color w:val="6E6158"/>
          <w:spacing w:val="14"/>
        </w:rPr>
        <w:t> </w:t>
      </w:r>
      <w:r>
        <w:rPr>
          <w:color w:val="6E6158"/>
        </w:rPr>
        <w:t>half-iron</w:t>
      </w:r>
      <w:r>
        <w:rPr>
          <w:color w:val="6E6158"/>
          <w:spacing w:val="14"/>
        </w:rPr>
        <w:t> </w:t>
      </w:r>
      <w:r>
        <w:rPr>
          <w:color w:val="6E6158"/>
        </w:rPr>
        <w:t>distance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races,</w:t>
      </w:r>
    </w:p>
    <w:p>
      <w:pPr>
        <w:pStyle w:val="BodyText"/>
        <w:spacing w:line="292" w:lineRule="auto" w:before="9"/>
        <w:ind w:right="352"/>
      </w:pPr>
      <w:r>
        <w:rPr>
          <w:color w:val="6E6158"/>
        </w:rPr>
        <w:t>and he has his sights set on the world’s most famous triathlon: the Ironman World Championship.</w:t>
      </w:r>
      <w:r>
        <w:rPr>
          <w:color w:val="6E6158"/>
          <w:spacing w:val="40"/>
        </w:rPr>
        <w:t> </w:t>
      </w:r>
      <w:r>
        <w:rPr>
          <w:color w:val="6E6158"/>
        </w:rPr>
        <w:t>David enjoys adventuring and traveling with his wife and spending time with his Alaskan</w:t>
      </w:r>
      <w:r>
        <w:rPr>
          <w:color w:val="6E6158"/>
          <w:spacing w:val="80"/>
        </w:rPr>
        <w:t> </w:t>
      </w:r>
      <w:r>
        <w:rPr>
          <w:color w:val="6E6158"/>
        </w:rPr>
        <w:t>Malamute and tuxedo cat.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Gonzaga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School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80"/>
      </w:pPr>
      <w:r>
        <w:rPr>
          <w:color w:val="6E6158"/>
        </w:rPr>
        <w:t>B.A.,</w:t>
      </w:r>
      <w:r>
        <w:rPr>
          <w:color w:val="6E6158"/>
          <w:spacing w:val="10"/>
        </w:rPr>
        <w:t> </w:t>
      </w:r>
      <w:r>
        <w:rPr>
          <w:color w:val="6E6158"/>
        </w:rPr>
        <w:t>Washington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6862"/>
      </w:pPr>
      <w:r>
        <w:rPr>
          <w:color w:val="6E6158"/>
        </w:rPr>
        <w:t>Labor &amp; </w:t>
      </w:r>
      <w:r>
        <w:rPr>
          <w:color w:val="6E6158"/>
        </w:rPr>
        <w:t>Employment </w:t>
      </w:r>
      <w:r>
        <w:rPr>
          <w:color w:val="6E6158"/>
          <w:spacing w:val="-2"/>
        </w:rPr>
        <w:t>ERISA</w:t>
      </w:r>
    </w:p>
    <w:p>
      <w:pPr>
        <w:pStyle w:val="Heading1"/>
        <w:spacing w:before="290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5" w:lineRule="auto"/>
        <w:ind w:right="229"/>
      </w:pPr>
      <w:hyperlink r:id="rId11">
        <w:r>
          <w:rPr>
            <w:color w:val="F5821F"/>
          </w:rPr>
          <w:t>Defended Walker Specialty Construction against more than $5 million in withdrawal liability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payments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related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its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cessation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work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within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union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pension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plan’s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jurisdiction.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result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of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a unanimous win in the Ninth Circuit Court of Appeals, Walker had no withdrawal liability and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received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reimbursement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for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payments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it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made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during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litigation,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plus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interest.</w:t>
        </w:r>
      </w:hyperlink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4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Super Lawyers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9"/>
          <w:position w:val="7"/>
          <w:sz w:val="16"/>
        </w:rPr>
        <w:t> </w:t>
      </w:r>
      <w:r>
        <w:rPr>
          <w:i/>
          <w:color w:val="6E6158"/>
          <w:spacing w:val="-2"/>
          <w:sz w:val="20"/>
        </w:rPr>
        <w:t>Rising Stars, </w:t>
      </w:r>
      <w:r>
        <w:rPr>
          <w:color w:val="6E6158"/>
          <w:spacing w:val="-2"/>
          <w:sz w:val="19"/>
        </w:rPr>
        <w:t>2020-</w:t>
      </w:r>
      <w:r>
        <w:rPr>
          <w:color w:val="6E6158"/>
          <w:spacing w:val="-4"/>
          <w:sz w:val="19"/>
        </w:rPr>
        <w:t>2026</w:t>
      </w:r>
    </w:p>
    <w:p>
      <w:pPr>
        <w:spacing w:line="408" w:lineRule="auto" w:before="16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 Labor and Employment Law – Management, 2027 Featured,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“50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emerging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leaders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Arizona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law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to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watch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2026,”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AZ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Big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Media,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January</w:t>
      </w:r>
      <w:r>
        <w:rPr>
          <w:color w:val="6E6158"/>
          <w:spacing w:val="11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8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Treasury Issues Temporary Regulations on Trump Accounts and </w:t>
        </w:r>
        <w:r>
          <w:rPr>
            <w:color w:val="F5821F"/>
          </w:rPr>
          <w:t>Contributions</w:t>
        </w:r>
      </w:hyperlink>
      <w:r>
        <w:rPr>
          <w:color w:val="6E6158"/>
        </w:rPr>
        <w:t>,” Fennemore Article, October 7, 2026</w:t>
      </w:r>
    </w:p>
    <w:p>
      <w:pPr>
        <w:pStyle w:val="BodyText"/>
        <w:spacing w:line="302" w:lineRule="auto" w:before="123"/>
      </w:pPr>
      <w:r>
        <w:rPr>
          <w:color w:val="6E6158"/>
        </w:rPr>
        <w:t>Speaker, “What Employers Need to Know About Immigration Compliance,” Greater </w:t>
      </w:r>
      <w:r>
        <w:rPr>
          <w:color w:val="6E6158"/>
        </w:rPr>
        <w:t>Phoenix Chamber – AZ in Focus, March 12, 2026</w:t>
      </w:r>
    </w:p>
    <w:p>
      <w:pPr>
        <w:pStyle w:val="BodyText"/>
        <w:spacing w:line="292" w:lineRule="auto" w:before="113"/>
        <w:ind w:right="372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No tax on overtime and tips is a myth: What employers need to know</w:t>
        </w:r>
      </w:hyperlink>
      <w:r>
        <w:rPr>
          <w:color w:val="6E6158"/>
        </w:rPr>
        <w:t>,” AZ Big Media, March 8, 2026</w:t>
      </w:r>
    </w:p>
    <w:p>
      <w:pPr>
        <w:pStyle w:val="BodyText"/>
        <w:spacing w:line="302" w:lineRule="auto" w:before="123"/>
        <w:ind w:right="307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One Big Beautiful Bill: What Employers Should Know About Reporting</w:t>
        </w:r>
      </w:hyperlink>
      <w:r>
        <w:rPr>
          <w:color w:val="6E6158"/>
        </w:rPr>
        <w:t>,” </w:t>
      </w:r>
      <w:r>
        <w:rPr>
          <w:color w:val="6E6158"/>
        </w:rPr>
        <w:t>Greater Phoenix inBusiness Magazine, February 24, 2026</w:t>
      </w:r>
    </w:p>
    <w:p>
      <w:pPr>
        <w:pStyle w:val="BodyText"/>
        <w:spacing w:line="292" w:lineRule="auto" w:before="113"/>
        <w:ind w:right="307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The ‘No Tax’ Overtime Myth: Employer Payroll and Reporting Obligations Under the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One Big Beautiful Bill Act Explained</w:t>
        </w:r>
      </w:hyperlink>
      <w:r>
        <w:rPr>
          <w:color w:val="6E6158"/>
        </w:rPr>
        <w:t>,” Fennemore Blog, February 16, 2026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73"/>
        <w:rPr>
          <w:i/>
          <w:sz w:val="20"/>
        </w:rPr>
      </w:pPr>
      <w:r>
        <w:rPr>
          <w:color w:val="6E6158"/>
        </w:rPr>
        <w:t>Presenter,</w:t>
      </w:r>
      <w:r>
        <w:rPr>
          <w:color w:val="6E6158"/>
          <w:spacing w:val="9"/>
        </w:rPr>
        <w:t> </w:t>
      </w:r>
      <w:r>
        <w:rPr>
          <w:color w:val="6E6158"/>
        </w:rPr>
        <w:t>“Employment</w:t>
      </w:r>
      <w:r>
        <w:rPr>
          <w:color w:val="6E6158"/>
          <w:spacing w:val="10"/>
        </w:rPr>
        <w:t> </w:t>
      </w:r>
      <w:r>
        <w:rPr>
          <w:color w:val="6E6158"/>
        </w:rPr>
        <w:t>&amp;</w:t>
      </w:r>
      <w:r>
        <w:rPr>
          <w:color w:val="6E6158"/>
          <w:spacing w:val="9"/>
        </w:rPr>
        <w:t> </w:t>
      </w:r>
      <w:r>
        <w:rPr>
          <w:color w:val="6E6158"/>
        </w:rPr>
        <w:t>Employee-Benefits</w:t>
      </w:r>
      <w:r>
        <w:rPr>
          <w:color w:val="6E6158"/>
          <w:spacing w:val="10"/>
        </w:rPr>
        <w:t> </w:t>
      </w:r>
      <w:r>
        <w:rPr>
          <w:color w:val="6E6158"/>
        </w:rPr>
        <w:t>Issues</w:t>
      </w:r>
      <w:r>
        <w:rPr>
          <w:color w:val="6E6158"/>
          <w:spacing w:val="9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Construction</w:t>
      </w:r>
      <w:r>
        <w:rPr>
          <w:color w:val="6E6158"/>
          <w:spacing w:val="9"/>
        </w:rPr>
        <w:t> </w:t>
      </w:r>
      <w:r>
        <w:rPr>
          <w:color w:val="6E6158"/>
        </w:rPr>
        <w:t>Industry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Federal</w:t>
      </w:r>
      <w:r>
        <w:rPr>
          <w:i/>
          <w:color w:val="6E6158"/>
          <w:spacing w:val="7"/>
          <w:sz w:val="20"/>
        </w:rPr>
        <w:t> </w:t>
      </w:r>
      <w:r>
        <w:rPr>
          <w:i/>
          <w:color w:val="6E6158"/>
          <w:spacing w:val="-10"/>
          <w:sz w:val="20"/>
        </w:rPr>
        <w:t>&amp;</w:t>
      </w:r>
    </w:p>
    <w:p>
      <w:pPr>
        <w:spacing w:line="297" w:lineRule="auto" w:before="40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Arizona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Considerations,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Arizona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State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Bar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Construction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Law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Section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Luncheon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CLE,”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pacing w:val="-2"/>
          <w:sz w:val="19"/>
        </w:rPr>
        <w:t>January 13,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117"/>
      </w:pPr>
      <w:r>
        <w:rPr>
          <w:color w:val="6E6158"/>
        </w:rPr>
        <w:t>Featued,</w:t>
      </w:r>
      <w:r>
        <w:rPr>
          <w:color w:val="6E6158"/>
          <w:spacing w:val="10"/>
        </w:rPr>
        <w:t> </w:t>
      </w:r>
      <w:r>
        <w:rPr>
          <w:color w:val="6E6158"/>
        </w:rPr>
        <w:t>“</w:t>
      </w:r>
      <w:hyperlink r:id="rId16">
        <w:r>
          <w:rPr>
            <w:color w:val="F5821F"/>
          </w:rPr>
          <w:t>50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emerging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leaders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Arizona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watch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2026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AZ</w:t>
      </w:r>
      <w:r>
        <w:rPr>
          <w:color w:val="6E6158"/>
          <w:spacing w:val="11"/>
        </w:rPr>
        <w:t> </w:t>
      </w:r>
      <w:r>
        <w:rPr>
          <w:color w:val="6E6158"/>
        </w:rPr>
        <w:t>Big</w:t>
      </w:r>
      <w:r>
        <w:rPr>
          <w:color w:val="6E6158"/>
          <w:spacing w:val="10"/>
        </w:rPr>
        <w:t> </w:t>
      </w:r>
      <w:r>
        <w:rPr>
          <w:color w:val="6E6158"/>
        </w:rPr>
        <w:t>Media,</w:t>
      </w:r>
      <w:r>
        <w:rPr>
          <w:color w:val="6E6158"/>
          <w:spacing w:val="11"/>
        </w:rPr>
        <w:t> </w:t>
      </w:r>
      <w:r>
        <w:rPr>
          <w:color w:val="6E6158"/>
        </w:rPr>
        <w:t>January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before="174"/>
      </w:pPr>
      <w:r>
        <w:rPr>
          <w:color w:val="6E6158"/>
        </w:rPr>
        <w:t>Co-Author,</w:t>
      </w:r>
      <w:r>
        <w:rPr>
          <w:color w:val="6E6158"/>
          <w:spacing w:val="10"/>
        </w:rPr>
        <w:t> </w:t>
      </w:r>
      <w:r>
        <w:rPr>
          <w:color w:val="6E6158"/>
        </w:rPr>
        <w:t>“</w:t>
      </w:r>
      <w:hyperlink r:id="rId17">
        <w:r>
          <w:rPr>
            <w:color w:val="F5821F"/>
          </w:rPr>
          <w:t>Navigating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employment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policy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shifts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Trump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2.0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AZ</w:t>
      </w:r>
      <w:r>
        <w:rPr>
          <w:color w:val="6E6158"/>
          <w:spacing w:val="11"/>
        </w:rPr>
        <w:t> </w:t>
      </w:r>
      <w:r>
        <w:rPr>
          <w:color w:val="6E6158"/>
        </w:rPr>
        <w:t>Big</w:t>
      </w:r>
      <w:r>
        <w:rPr>
          <w:color w:val="6E6158"/>
          <w:spacing w:val="11"/>
        </w:rPr>
        <w:t> </w:t>
      </w:r>
      <w:r>
        <w:rPr>
          <w:color w:val="6E6158"/>
        </w:rPr>
        <w:t>Media,</w:t>
      </w:r>
      <w:r>
        <w:rPr>
          <w:color w:val="6E6158"/>
          <w:spacing w:val="11"/>
        </w:rPr>
        <w:t> </w:t>
      </w:r>
      <w:r>
        <w:rPr>
          <w:color w:val="6E6158"/>
        </w:rPr>
        <w:t>November</w:t>
      </w:r>
      <w:r>
        <w:rPr>
          <w:color w:val="6E6158"/>
          <w:spacing w:val="11"/>
        </w:rPr>
        <w:t> </w:t>
      </w:r>
      <w:r>
        <w:rPr>
          <w:color w:val="6E6158"/>
        </w:rPr>
        <w:t>17,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</w:pPr>
      <w:r>
        <w:rPr>
          <w:color w:val="6E6158"/>
        </w:rPr>
        <w:t>Co-Author, “</w:t>
      </w:r>
      <w:hyperlink r:id="rId18">
        <w:r>
          <w:rPr>
            <w:color w:val="F5821F"/>
          </w:rPr>
          <w:t>Trump 2.0 era brings pro-business, anti-DEI shift for employers</w:t>
        </w:r>
      </w:hyperlink>
      <w:r>
        <w:rPr>
          <w:color w:val="6E6158"/>
        </w:rPr>
        <w:t>,” AZ Capitol </w:t>
      </w:r>
      <w:r>
        <w:rPr>
          <w:color w:val="6E6158"/>
        </w:rPr>
        <w:t>Times, November 7, 2025</w:t>
      </w:r>
    </w:p>
    <w:p>
      <w:pPr>
        <w:pStyle w:val="BodyText"/>
        <w:spacing w:line="292" w:lineRule="auto" w:before="112"/>
      </w:pPr>
      <w:r>
        <w:rPr>
          <w:color w:val="6E6158"/>
        </w:rPr>
        <w:t>Co-Author, “</w:t>
      </w:r>
      <w:hyperlink r:id="rId19">
        <w:r>
          <w:rPr>
            <w:color w:val="F5821F"/>
          </w:rPr>
          <w:t>Policy Reset in Washington: What HR and In-House Counsel Must Do Now</w:t>
        </w:r>
      </w:hyperlink>
      <w:r>
        <w:rPr>
          <w:color w:val="6E6158"/>
        </w:rPr>
        <w:t>,” Greater Phoenix InBusiness Magazine, November 4, 2025</w:t>
      </w:r>
    </w:p>
    <w:p>
      <w:pPr>
        <w:pStyle w:val="BodyText"/>
        <w:spacing w:line="302" w:lineRule="auto" w:before="124"/>
        <w:ind w:right="352"/>
      </w:pPr>
      <w:r>
        <w:rPr>
          <w:color w:val="6E6158"/>
        </w:rPr>
        <w:t>Co-Author, “</w:t>
      </w:r>
      <w:hyperlink r:id="rId20">
        <w:r>
          <w:rPr>
            <w:color w:val="F5821F"/>
          </w:rPr>
          <w:t>Navigating Employment Policy Shifts in Trump 2.0</w:t>
        </w:r>
      </w:hyperlink>
      <w:r>
        <w:rPr>
          <w:color w:val="6E6158"/>
        </w:rPr>
        <w:t>,” Fennemore Blog, October </w:t>
      </w:r>
      <w:r>
        <w:rPr>
          <w:color w:val="6E6158"/>
        </w:rPr>
        <w:t>30,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12"/>
        <w:ind w:right="307"/>
      </w:pPr>
      <w:r>
        <w:rPr>
          <w:color w:val="6E6158"/>
        </w:rPr>
        <w:t>Presenter, “Navigating Current Challenges for Employers,” Fennemore’s Labor &amp; </w:t>
      </w:r>
      <w:r>
        <w:rPr>
          <w:color w:val="6E6158"/>
        </w:rPr>
        <w:t>Employment Insights, October 22, 2025</w:t>
      </w:r>
    </w:p>
    <w:p>
      <w:pPr>
        <w:pStyle w:val="BodyText"/>
        <w:spacing w:line="302" w:lineRule="auto" w:before="124"/>
        <w:ind w:right="307"/>
      </w:pPr>
      <w:r>
        <w:rPr>
          <w:color w:val="6E6158"/>
        </w:rPr>
        <w:t>Co-Author, “</w:t>
      </w:r>
      <w:hyperlink r:id="rId21">
        <w:r>
          <w:rPr>
            <w:color w:val="F5821F"/>
          </w:rPr>
          <w:t>The One Big Beautiful Bill: What Employers Need to Know</w:t>
        </w:r>
      </w:hyperlink>
      <w:r>
        <w:rPr>
          <w:color w:val="6E6158"/>
        </w:rPr>
        <w:t>,” Greater </w:t>
      </w:r>
      <w:r>
        <w:rPr>
          <w:color w:val="6E6158"/>
        </w:rPr>
        <w:t>Phoenix Chamber, October 8, 2025</w:t>
      </w:r>
    </w:p>
    <w:p>
      <w:pPr>
        <w:pStyle w:val="BodyText"/>
        <w:spacing w:line="292" w:lineRule="auto" w:before="113"/>
        <w:ind w:right="307"/>
      </w:pPr>
      <w:r>
        <w:rPr>
          <w:color w:val="6E6158"/>
        </w:rPr>
        <w:t>Speaker, “One Big Beautiful Bill: What Employers Need to Know,” Chandler Chamber </w:t>
      </w:r>
      <w:r>
        <w:rPr>
          <w:color w:val="6E6158"/>
        </w:rPr>
        <w:t>of Commerce Public Policy Series, September 12, 2025</w:t>
      </w:r>
    </w:p>
    <w:p>
      <w:pPr>
        <w:pStyle w:val="BodyText"/>
        <w:spacing w:before="131"/>
      </w:pPr>
      <w:r>
        <w:rPr>
          <w:color w:val="6E6158"/>
        </w:rPr>
        <w:t>Co-Author,</w:t>
      </w:r>
      <w:r>
        <w:rPr>
          <w:color w:val="6E6158"/>
          <w:spacing w:val="10"/>
        </w:rPr>
        <w:t> </w:t>
      </w:r>
      <w:r>
        <w:rPr>
          <w:color w:val="6E6158"/>
        </w:rPr>
        <w:t>“</w:t>
      </w:r>
      <w:hyperlink r:id="rId22">
        <w:r>
          <w:rPr>
            <w:color w:val="F5821F"/>
          </w:rPr>
          <w:t>One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Big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Beautiful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bill: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What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employers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need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know</w:t>
        </w:r>
      </w:hyperlink>
      <w:r>
        <w:rPr>
          <w:color w:val="6E6158"/>
        </w:rPr>
        <w:t>,”</w:t>
      </w:r>
      <w:r>
        <w:rPr>
          <w:color w:val="6E6158"/>
          <w:spacing w:val="10"/>
        </w:rPr>
        <w:t> </w:t>
      </w:r>
      <w:r>
        <w:rPr>
          <w:color w:val="6E6158"/>
        </w:rPr>
        <w:t>BLR,</w:t>
      </w:r>
      <w:r>
        <w:rPr>
          <w:color w:val="6E6158"/>
          <w:spacing w:val="10"/>
        </w:rPr>
        <w:t> </w:t>
      </w:r>
      <w:r>
        <w:rPr>
          <w:color w:val="6E6158"/>
        </w:rPr>
        <w:t>August</w:t>
      </w:r>
      <w:r>
        <w:rPr>
          <w:color w:val="6E6158"/>
          <w:spacing w:val="10"/>
        </w:rPr>
        <w:t> </w:t>
      </w:r>
      <w:r>
        <w:rPr>
          <w:color w:val="6E6158"/>
        </w:rPr>
        <w:t>20,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74"/>
      </w:pPr>
      <w:r>
        <w:rPr>
          <w:color w:val="6E6158"/>
        </w:rPr>
        <w:t>Speaker, One Big Beautiful Bill: What Employers Need to Know, Greater Phoenix Chamber – AZ in</w:t>
      </w:r>
      <w:r>
        <w:rPr>
          <w:color w:val="6E6158"/>
          <w:spacing w:val="40"/>
        </w:rPr>
        <w:t> </w:t>
      </w:r>
      <w:r>
        <w:rPr>
          <w:color w:val="6E6158"/>
        </w:rPr>
        <w:t>Focus, August 6, 2025</w:t>
      </w:r>
    </w:p>
    <w:p>
      <w:pPr>
        <w:pStyle w:val="BodyText"/>
        <w:spacing w:before="123"/>
      </w:pPr>
      <w:r>
        <w:rPr>
          <w:color w:val="6E6158"/>
        </w:rPr>
        <w:t>Co-Author,</w:t>
      </w:r>
      <w:r>
        <w:rPr>
          <w:color w:val="6E6158"/>
          <w:spacing w:val="9"/>
        </w:rPr>
        <w:t> </w:t>
      </w:r>
      <w:r>
        <w:rPr>
          <w:color w:val="6E6158"/>
        </w:rPr>
        <w:t>“‘</w:t>
      </w:r>
      <w:hyperlink r:id="rId23">
        <w:r>
          <w:rPr>
            <w:color w:val="F5821F"/>
          </w:rPr>
          <w:t>One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Big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Beautiful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Bill’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–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what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employers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need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know</w:t>
        </w:r>
      </w:hyperlink>
      <w:r>
        <w:rPr>
          <w:color w:val="6E6158"/>
        </w:rPr>
        <w:t>,”</w:t>
      </w:r>
      <w:r>
        <w:rPr>
          <w:color w:val="6E6158"/>
          <w:spacing w:val="9"/>
        </w:rPr>
        <w:t> </w:t>
      </w:r>
      <w:r>
        <w:rPr>
          <w:color w:val="6E6158"/>
        </w:rPr>
        <w:t>AZ</w:t>
      </w:r>
      <w:r>
        <w:rPr>
          <w:color w:val="6E6158"/>
          <w:spacing w:val="9"/>
        </w:rPr>
        <w:t> </w:t>
      </w:r>
      <w:r>
        <w:rPr>
          <w:color w:val="6E6158"/>
        </w:rPr>
        <w:t>Big</w:t>
      </w:r>
      <w:r>
        <w:rPr>
          <w:color w:val="6E6158"/>
          <w:spacing w:val="9"/>
        </w:rPr>
        <w:t> </w:t>
      </w:r>
      <w:r>
        <w:rPr>
          <w:color w:val="6E6158"/>
        </w:rPr>
        <w:t>Media,</w:t>
      </w:r>
      <w:r>
        <w:rPr>
          <w:color w:val="6E6158"/>
          <w:spacing w:val="9"/>
        </w:rPr>
        <w:t> </w:t>
      </w:r>
      <w:r>
        <w:rPr>
          <w:color w:val="6E6158"/>
        </w:rPr>
        <w:t>July</w:t>
      </w:r>
      <w:r>
        <w:rPr>
          <w:color w:val="6E6158"/>
          <w:spacing w:val="9"/>
        </w:rPr>
        <w:t> </w:t>
      </w:r>
      <w:r>
        <w:rPr>
          <w:color w:val="6E6158"/>
        </w:rPr>
        <w:t>26,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82"/>
      </w:pPr>
      <w:r>
        <w:rPr>
          <w:color w:val="6E6158"/>
        </w:rPr>
        <w:t>Co-Author, “</w:t>
      </w:r>
      <w:hyperlink r:id="rId24">
        <w:r>
          <w:rPr>
            <w:color w:val="F5821F"/>
          </w:rPr>
          <w:t>Supreme Court Makes It Easier For Plaintiffs To Sue Plan Fiduciaries</w:t>
        </w:r>
      </w:hyperlink>
      <w:r>
        <w:rPr>
          <w:color w:val="6E6158"/>
        </w:rPr>
        <w:t>,” Fennemore Blog, April 21, 2025</w:t>
      </w:r>
    </w:p>
    <w:p>
      <w:pPr>
        <w:pStyle w:val="BodyText"/>
        <w:spacing w:before="123"/>
      </w:pPr>
      <w:hyperlink r:id="rId25">
        <w:r>
          <w:rPr>
            <w:color w:val="F5821F"/>
          </w:rPr>
          <w:t>Co-Author,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Justices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Likely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Stay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ERISA’s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Bounds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Pleadings,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Law360,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February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12,</w:t>
        </w:r>
        <w:r>
          <w:rPr>
            <w:color w:val="F5821F"/>
            <w:spacing w:val="9"/>
          </w:rPr>
          <w:t> </w:t>
        </w:r>
        <w:r>
          <w:rPr>
            <w:color w:val="F5821F"/>
            <w:spacing w:val="-4"/>
          </w:rPr>
          <w:t>2025</w:t>
        </w:r>
      </w:hyperlink>
    </w:p>
    <w:p>
      <w:pPr>
        <w:pStyle w:val="BodyText"/>
        <w:spacing w:line="302" w:lineRule="auto" w:before="174"/>
        <w:ind w:right="307"/>
      </w:pPr>
      <w:r>
        <w:rPr>
          <w:color w:val="6E6158"/>
        </w:rPr>
        <w:t>Co-Author, </w:t>
      </w:r>
      <w:hyperlink r:id="rId26">
        <w:r>
          <w:rPr>
            <w:color w:val="F5821F"/>
          </w:rPr>
          <w:t>Buying Or Selling A Business? Don’t Forget To Look Out For These Employee Benefits</w:t>
        </w:r>
      </w:hyperlink>
      <w:r>
        <w:rPr>
          <w:color w:val="F5821F"/>
        </w:rPr>
        <w:t> </w:t>
      </w:r>
      <w:hyperlink r:id="rId26">
        <w:r>
          <w:rPr>
            <w:color w:val="F5821F"/>
          </w:rPr>
          <w:t>Issues!</w:t>
        </w:r>
      </w:hyperlink>
      <w:r>
        <w:rPr>
          <w:color w:val="6E6158"/>
        </w:rPr>
        <w:t>, Fennemore Blog, June 26, 2024</w:t>
      </w:r>
    </w:p>
    <w:p>
      <w:pPr>
        <w:pStyle w:val="BodyText"/>
        <w:spacing w:line="292" w:lineRule="auto" w:before="113"/>
      </w:pPr>
      <w:r>
        <w:rPr>
          <w:color w:val="6E6158"/>
        </w:rPr>
        <w:t>Author, “</w:t>
      </w:r>
      <w:hyperlink r:id="rId27">
        <w:r>
          <w:rPr>
            <w:color w:val="F5821F"/>
          </w:rPr>
          <w:t>California civil penalties await Arizona employers enforcing noncompete clauses </w:t>
        </w:r>
        <w:r>
          <w:rPr>
            <w:color w:val="F5821F"/>
          </w:rPr>
          <w:t>across</w:t>
        </w:r>
      </w:hyperlink>
      <w:r>
        <w:rPr>
          <w:color w:val="F5821F"/>
          <w:spacing w:val="40"/>
        </w:rPr>
        <w:t> </w:t>
      </w:r>
      <w:hyperlink r:id="rId27">
        <w:r>
          <w:rPr>
            <w:color w:val="F5821F"/>
          </w:rPr>
          <w:t>state lines</w:t>
        </w:r>
      </w:hyperlink>
      <w:r>
        <w:rPr>
          <w:color w:val="6E6158"/>
        </w:rPr>
        <w:t>,” Phoenix Business Journal, April 1, 2024</w:t>
      </w:r>
    </w:p>
    <w:p>
      <w:pPr>
        <w:pStyle w:val="BodyText"/>
        <w:spacing w:line="302" w:lineRule="auto" w:before="123"/>
        <w:ind w:right="307"/>
      </w:pPr>
      <w:hyperlink r:id="rId28">
        <w:r>
          <w:rPr>
            <w:color w:val="F5821F"/>
          </w:rPr>
          <w:t>Co-Author “New 401(k) Plan Rules Impose Mandatory Eligibility Requirements for Part-</w:t>
        </w:r>
        <w:r>
          <w:rPr>
            <w:color w:val="F5821F"/>
          </w:rPr>
          <w:t>Time</w:t>
        </w:r>
      </w:hyperlink>
      <w:r>
        <w:rPr>
          <w:color w:val="F5821F"/>
          <w:spacing w:val="40"/>
        </w:rPr>
        <w:t> </w:t>
      </w:r>
      <w:hyperlink r:id="rId28">
        <w:r>
          <w:rPr>
            <w:color w:val="F5821F"/>
          </w:rPr>
          <w:t>Employees in 2024,” Fennemore Client Alert, October 5, 2023</w:t>
        </w:r>
      </w:hyperlink>
    </w:p>
    <w:p>
      <w:pPr>
        <w:pStyle w:val="BodyText"/>
        <w:spacing w:line="292" w:lineRule="auto" w:before="113"/>
      </w:pPr>
      <w:hyperlink r:id="rId29">
        <w:r>
          <w:rPr>
            <w:color w:val="F5821F"/>
          </w:rPr>
          <w:t>Co-Author “Roth Catch-Up Contributions Under SECURE 2.0: The IRS Delays New Requirements </w:t>
        </w:r>
        <w:r>
          <w:rPr>
            <w:color w:val="F5821F"/>
          </w:rPr>
          <w:t>to</w:t>
        </w:r>
      </w:hyperlink>
      <w:r>
        <w:rPr>
          <w:color w:val="F5821F"/>
          <w:spacing w:val="40"/>
        </w:rPr>
        <w:t> </w:t>
      </w:r>
      <w:hyperlink r:id="rId29">
        <w:r>
          <w:rPr>
            <w:color w:val="F5821F"/>
          </w:rPr>
          <w:t>2026,” Fennemore Client Alert, September 6, 2023</w:t>
        </w:r>
      </w:hyperlink>
    </w:p>
    <w:p>
      <w:pPr>
        <w:pStyle w:val="BodyText"/>
        <w:spacing w:line="292" w:lineRule="auto" w:before="132"/>
        <w:ind w:right="307"/>
      </w:pPr>
      <w:hyperlink r:id="rId30">
        <w:r>
          <w:rPr>
            <w:color w:val="F5821F"/>
          </w:rPr>
          <w:t>Co-Author “Health Plans Must Attest They Have No “Gag Clause” By End of 2023: It’s Time To</w:t>
        </w:r>
      </w:hyperlink>
      <w:r>
        <w:rPr>
          <w:color w:val="F5821F"/>
          <w:spacing w:val="40"/>
        </w:rPr>
        <w:t> </w:t>
      </w:r>
      <w:hyperlink r:id="rId30">
        <w:r>
          <w:rPr>
            <w:color w:val="F5821F"/>
          </w:rPr>
          <w:t>Check Your Service Provider Agreement,” Fennemore Client Alert, August 24, 2023</w:t>
        </w:r>
      </w:hyperlink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Board</w:t>
      </w:r>
      <w:r>
        <w:rPr>
          <w:color w:val="6E6158"/>
          <w:spacing w:val="10"/>
        </w:rPr>
        <w:t> </w:t>
      </w:r>
      <w:r>
        <w:rPr>
          <w:color w:val="6E6158"/>
        </w:rPr>
        <w:t>Member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Volunteer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Play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Gracie</w:t>
      </w:r>
      <w:r>
        <w:rPr>
          <w:color w:val="6E6158"/>
          <w:spacing w:val="11"/>
        </w:rPr>
        <w:t> </w:t>
      </w:r>
      <w:r>
        <w:rPr>
          <w:color w:val="6E6158"/>
        </w:rPr>
        <w:t>Foundation,</w:t>
      </w:r>
      <w:r>
        <w:rPr>
          <w:color w:val="6E6158"/>
          <w:spacing w:val="10"/>
        </w:rPr>
        <w:t> </w:t>
      </w:r>
      <w:r>
        <w:rPr>
          <w:color w:val="6E6158"/>
        </w:rPr>
        <w:t>Spokane,</w:t>
      </w:r>
      <w:r>
        <w:rPr>
          <w:color w:val="6E6158"/>
          <w:spacing w:val="10"/>
        </w:rPr>
        <w:t> </w:t>
      </w:r>
      <w:r>
        <w:rPr>
          <w:color w:val="6E6158"/>
        </w:rPr>
        <w:t>WA,</w:t>
      </w:r>
      <w:r>
        <w:rPr>
          <w:color w:val="6E6158"/>
          <w:spacing w:val="10"/>
        </w:rPr>
        <w:t> </w:t>
      </w:r>
      <w:r>
        <w:rPr>
          <w:color w:val="6E6158"/>
        </w:rPr>
        <w:t>2014-</w:t>
      </w:r>
      <w:r>
        <w:rPr>
          <w:color w:val="6E6158"/>
          <w:spacing w:val="-4"/>
        </w:rPr>
        <w:t>2019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  <w:spacing w:val="-2"/>
        </w:rPr>
        <w:t>Washington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Washington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Washington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2"/>
        </w:rPr>
        <w:t> </w:t>
      </w:r>
      <w:r>
        <w:rPr>
          <w:color w:val="6E6158"/>
        </w:rPr>
        <w:t>Bankruptcy</w:t>
      </w:r>
      <w:r>
        <w:rPr>
          <w:color w:val="6E6158"/>
          <w:spacing w:val="13"/>
        </w:rPr>
        <w:t> </w:t>
      </w:r>
      <w:r>
        <w:rPr>
          <w:color w:val="6E6158"/>
        </w:rPr>
        <w:t>Court,</w:t>
      </w:r>
      <w:r>
        <w:rPr>
          <w:color w:val="6E6158"/>
          <w:spacing w:val="13"/>
        </w:rPr>
        <w:t> </w:t>
      </w:r>
      <w:r>
        <w:rPr>
          <w:color w:val="6E6158"/>
        </w:rPr>
        <w:t>Eastern</w:t>
      </w:r>
      <w:r>
        <w:rPr>
          <w:color w:val="6E6158"/>
          <w:spacing w:val="13"/>
        </w:rPr>
        <w:t> </w:t>
      </w:r>
      <w:r>
        <w:rPr>
          <w:color w:val="6E6158"/>
        </w:rPr>
        <w:t>District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Washington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Bankruptcy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Western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Washington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9th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dsieck@fennemorelaw.com" TargetMode="External"/><Relationship Id="rId11" Type="http://schemas.openxmlformats.org/officeDocument/2006/relationships/hyperlink" Target="https://www.fennemorelaw.com/fennemores-erisa-team-scores-ninth-circuit-victory-clarifying-the-withdrawal-liability-building-and-construction-exception/" TargetMode="External"/><Relationship Id="rId12" Type="http://schemas.openxmlformats.org/officeDocument/2006/relationships/hyperlink" Target="https://www.fennemorelaw.com/treasury-issues-temporary-regulations-on-trump-accounts-and-contributions/" TargetMode="External"/><Relationship Id="rId13" Type="http://schemas.openxmlformats.org/officeDocument/2006/relationships/hyperlink" Target="https://azbigmedia.com/business/no-tax-on-overtime-and-tips-is-a-myth-what-employers-need-to-know/" TargetMode="External"/><Relationship Id="rId14" Type="http://schemas.openxmlformats.org/officeDocument/2006/relationships/hyperlink" Target="https://inbusinessphx.com/legal-regulations/one-big-beautiful-bill-what-employers-should-know-about-reporting" TargetMode="External"/><Relationship Id="rId15" Type="http://schemas.openxmlformats.org/officeDocument/2006/relationships/hyperlink" Target="https://www.fennemorelaw.com/the-no-tax-overtime-myth-employer-payroll-and-reporting-obligations-under-the-one-big-beautiful-bill-act-explained/" TargetMode="External"/><Relationship Id="rId16" Type="http://schemas.openxmlformats.org/officeDocument/2006/relationships/hyperlink" Target="https://azbigmedia.com/business/50-emerging-leaders-in-arizona-law-for-2026/" TargetMode="External"/><Relationship Id="rId17" Type="http://schemas.openxmlformats.org/officeDocument/2006/relationships/hyperlink" Target="https://azbigmedia.com/business/navigating-employment-policy-shifts-in-trump-2-0/" TargetMode="External"/><Relationship Id="rId18" Type="http://schemas.openxmlformats.org/officeDocument/2006/relationships/hyperlink" Target="https://azcapitoltimes.com/news/2025/11/07/trump-2-0-era-brings-pro-business-anti-dei-shift-for-employers/" TargetMode="External"/><Relationship Id="rId19" Type="http://schemas.openxmlformats.org/officeDocument/2006/relationships/hyperlink" Target="https://inbusinessphx.com/government-compliance/policy-reset-in-washington-what-hr-and-in-house-counsel-must-do-now" TargetMode="External"/><Relationship Id="rId20" Type="http://schemas.openxmlformats.org/officeDocument/2006/relationships/hyperlink" Target="https://www.fennemorelaw.com/navigating-employment-policy-shifts-in-trump-2-0/" TargetMode="External"/><Relationship Id="rId21" Type="http://schemas.openxmlformats.org/officeDocument/2006/relationships/hyperlink" Target="https://phoenixchamber.com/2025/10/08/the-one-big-beautiful-bill-what-employers-need-to-know/" TargetMode="External"/><Relationship Id="rId22" Type="http://schemas.openxmlformats.org/officeDocument/2006/relationships/hyperlink" Target="https://blr.com/resources/one-big-beautiful-bill-what-employers-need-to-know/" TargetMode="External"/><Relationship Id="rId23" Type="http://schemas.openxmlformats.org/officeDocument/2006/relationships/hyperlink" Target="https://azbigmedia.com/business/one-big-beautiful-bill-what-employers-need-to-know/" TargetMode="External"/><Relationship Id="rId24" Type="http://schemas.openxmlformats.org/officeDocument/2006/relationships/hyperlink" Target="https://www.fennemorelaw.com/supreme-court-makes-it-easier-for-plaintiffs-to-sue-plan-fiduciaries/" TargetMode="External"/><Relationship Id="rId25" Type="http://schemas.openxmlformats.org/officeDocument/2006/relationships/hyperlink" Target="https://www.fennemorelaw.com/justices-likely-to-stay-in-erisas-bounds-on-pleadings/" TargetMode="External"/><Relationship Id="rId26" Type="http://schemas.openxmlformats.org/officeDocument/2006/relationships/hyperlink" Target="https://www.fennemorelaw.com/buying-or-selling-a-business-dont-forget-to-look-out-for-these-employee-benefits-issues/" TargetMode="External"/><Relationship Id="rId27" Type="http://schemas.openxmlformats.org/officeDocument/2006/relationships/hyperlink" Target="https://www.bizjournals.com/phoenix/news/2024/04/01/california-civil-penalties-arizona-noncompete.html" TargetMode="External"/><Relationship Id="rId28" Type="http://schemas.openxmlformats.org/officeDocument/2006/relationships/hyperlink" Target="https://mailchi.mp/fennemorelaw/roth-catch-up-contributions-15828694?e=521c02bb5c" TargetMode="External"/><Relationship Id="rId29" Type="http://schemas.openxmlformats.org/officeDocument/2006/relationships/hyperlink" Target="https://mailchi.mp/fennemorelaw/roth-catch-up-contributions" TargetMode="External"/><Relationship Id="rId30" Type="http://schemas.openxmlformats.org/officeDocument/2006/relationships/hyperlink" Target="https://mailchi.mp/fennemorelaw/erisa-gag-clause?e=%5bUNIQID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Sieck - Fennemore</dc:title>
  <dcterms:created xsi:type="dcterms:W3CDTF">2026-10-16T13:59:27Z</dcterms:created>
  <dcterms:modified xsi:type="dcterms:W3CDTF">2026-10-16T13:59:27Z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2026-10-16T00:00:00Z</vt:filetime>
  </property>
  <property fmtid="{D5CDD505-2E9C-101B-9397-08002B2CF9AE}" pid="6" name="Producer">
    <vt:lpwstr>Skia/PDF m155</vt:lpwstr>
  </property>
</Properties>
</file>