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5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4366895"/>
                <wp:effectExtent l="0" t="0" r="0" b="507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366895"/>
                          <a:chExt cx="6071870" cy="436689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AdobeStock 62593030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6071591" cy="2469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268700"/>
                            <a:ext cx="6071870" cy="247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70150">
                                <a:moveTo>
                                  <a:pt x="6071591" y="2469975"/>
                                </a:moveTo>
                                <a:lnTo>
                                  <a:pt x="0" y="2469975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2469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>
                              <a:alpha val="8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2738675"/>
                            <a:ext cx="6071870" cy="1628139"/>
                          </a:xfrm>
                          <a:prstGeom prst="rect">
                            <a:avLst/>
                          </a:prstGeom>
                          <a:solidFill>
                            <a:srgbClr val="002E6D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color w:val="00000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color w:val="00000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100"/>
                                <w:rPr>
                                  <w:rFonts w:ascii="Times New Roman"/>
                                  <w:color w:val="00000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348" w:lineRule="auto" w:before="1"/>
                                <w:ind w:left="1397" w:right="1390" w:hanging="1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provide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public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charter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schools,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private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K–12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schools,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public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private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colleges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and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universities,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early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childhood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education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centers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practical,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multidisciplinary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counsel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throughout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their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life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cycle.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attorneys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advise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formation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expansion,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well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daily operations, regulatory compliance, investigations, real estate transactions, and institutional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change.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670539" y="1673361"/>
                            <a:ext cx="4743450" cy="35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3021" w:right="0" w:hanging="3022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Counsel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institutions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educate,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employ,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serve,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strengthen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22"/>
                                </w:rPr>
                                <w:t>communities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382776" y="968386"/>
                            <a:ext cx="1318895" cy="326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1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4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2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343.85pt;mso-position-horizontal-relative:char;mso-position-vertical-relative:line" id="docshapegroup1" coordorigin="0,0" coordsize="9562,6877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9562;height:3890" type="#_x0000_t75" id="docshape3" alt="AdobeStock 625930300" stroked="false">
                  <v:imagedata r:id="rId7" o:title=""/>
                </v:shape>
                <v:rect style="position:absolute;left:0;top:423;width:9562;height:3890" id="docshape4" filled="true" fillcolor="#262424" stroked="false">
                  <v:fill opacity="53713f"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4312;width:9562;height:2564" type="#_x0000_t202" id="docshape5" filled="true" fillcolor="#002e6d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color w:val="000000"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color w:val="000000"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100"/>
                          <w:rPr>
                            <w:rFonts w:ascii="Times New Roman"/>
                            <w:color w:val="000000"/>
                            <w:sz w:val="16"/>
                          </w:rPr>
                        </w:pPr>
                      </w:p>
                      <w:p>
                        <w:pPr>
                          <w:spacing w:line="348" w:lineRule="auto" w:before="1"/>
                          <w:ind w:left="1397" w:right="1390" w:hanging="1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We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provide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public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charter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schools,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private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K–12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schools,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public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private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colleges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and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universities,</w:t>
                        </w:r>
                        <w:r>
                          <w:rPr>
                            <w:color w:val="FFFFF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early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childhood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education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centers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practical,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multidisciplinary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counsel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throughout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their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life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cycle.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Our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attorneys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advise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on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formation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expansion,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well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daily operations, regulatory compliance, investigations, real estate transactions, and institutional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change.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055;top:2635;width:7470;height:557" type="#_x0000_t202" id="docshape6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3021" w:right="0" w:hanging="3022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Counsel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for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institutions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that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educate,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employ,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serve,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and</w:t>
                        </w:r>
                        <w:r>
                          <w:rPr>
                            <w:color w:val="FFFFFF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strengthen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22"/>
                          </w:rPr>
                          <w:t>communities</w:t>
                        </w:r>
                      </w:p>
                    </w:txbxContent>
                  </v:textbox>
                  <w10:wrap type="none"/>
                </v:shape>
                <v:shape style="position:absolute;left:3752;top:1525;width:2077;height:514" type="#_x0000_t202" id="docshape7" filled="false" stroked="false">
                  <v:textbox inset="0,0,0,0">
                    <w:txbxContent>
                      <w:p>
                        <w:pPr>
                          <w:spacing w:line="512" w:lineRule="exact" w:before="0"/>
                          <w:ind w:left="0" w:right="0" w:firstLine="0"/>
                          <w:jc w:val="left"/>
                          <w:rPr>
                            <w:b/>
                            <w:sz w:val="42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42"/>
                          </w:rPr>
                          <w:t>Education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2"/>
      </w:pPr>
      <w:r>
        <w:rPr>
          <w:color w:val="002E6B"/>
          <w:spacing w:val="-2"/>
        </w:rPr>
        <w:t>LEADERSHIP</w:t>
      </w:r>
    </w:p>
    <w:p>
      <w:pPr>
        <w:pStyle w:val="BodyText"/>
        <w:spacing w:before="52"/>
        <w:ind w:left="0"/>
        <w:rPr>
          <w:b/>
          <w:sz w:val="20"/>
        </w:rPr>
      </w:pPr>
    </w:p>
    <w:p>
      <w:pPr>
        <w:spacing w:line="218" w:lineRule="auto" w:before="0"/>
        <w:ind w:left="5856" w:right="2844" w:firstLine="0"/>
        <w:jc w:val="lef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2791396</wp:posOffset>
            </wp:positionH>
            <wp:positionV relativeFrom="paragraph">
              <wp:posOffset>-30570</wp:posOffset>
            </wp:positionV>
            <wp:extent cx="1395174" cy="1395174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174" cy="1395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sz w:val="16"/>
          </w:rPr>
          <w:t>LABOR &amp;</w:t>
        </w:r>
      </w:hyperlink>
      <w:r>
        <w:rPr>
          <w:sz w:val="16"/>
        </w:rPr>
        <w:t> </w:t>
      </w:r>
      <w:hyperlink r:id="rId9">
        <w:r>
          <w:rPr>
            <w:spacing w:val="-2"/>
            <w:sz w:val="16"/>
          </w:rPr>
          <w:t>EMPLOYMENT</w:t>
        </w:r>
      </w:hyperlink>
    </w:p>
    <w:p>
      <w:pPr>
        <w:pStyle w:val="BodyText"/>
        <w:spacing w:before="35"/>
        <w:ind w:left="0"/>
        <w:rPr>
          <w:sz w:val="16"/>
        </w:rPr>
      </w:pPr>
    </w:p>
    <w:p>
      <w:pPr>
        <w:spacing w:before="0"/>
        <w:ind w:left="5856" w:right="0" w:firstLine="0"/>
        <w:jc w:val="left"/>
        <w:rPr>
          <w:sz w:val="16"/>
        </w:rPr>
      </w:pPr>
      <w:hyperlink r:id="rId10">
        <w:r>
          <w:rPr>
            <w:sz w:val="16"/>
          </w:rPr>
          <w:t>REAL</w:t>
        </w:r>
        <w:r>
          <w:rPr>
            <w:spacing w:val="3"/>
            <w:sz w:val="16"/>
          </w:rPr>
          <w:t> </w:t>
        </w:r>
        <w:r>
          <w:rPr>
            <w:spacing w:val="-2"/>
            <w:sz w:val="16"/>
          </w:rPr>
          <w:t>ESTATE</w:t>
        </w:r>
      </w:hyperlink>
    </w:p>
    <w:p>
      <w:pPr>
        <w:pStyle w:val="BodyText"/>
        <w:spacing w:before="22"/>
        <w:ind w:left="0"/>
        <w:rPr>
          <w:sz w:val="16"/>
        </w:rPr>
      </w:pPr>
    </w:p>
    <w:p>
      <w:pPr>
        <w:spacing w:line="191" w:lineRule="exact" w:before="1"/>
        <w:ind w:left="5856" w:right="0" w:firstLine="0"/>
        <w:jc w:val="left"/>
        <w:rPr>
          <w:b/>
          <w:sz w:val="16"/>
        </w:rPr>
      </w:pPr>
      <w:hyperlink r:id="rId11">
        <w:r>
          <w:rPr>
            <w:b/>
            <w:sz w:val="16"/>
          </w:rPr>
          <w:t>Bruna</w:t>
        </w:r>
        <w:r>
          <w:rPr>
            <w:b/>
            <w:spacing w:val="2"/>
            <w:sz w:val="16"/>
          </w:rPr>
          <w:t> </w:t>
        </w:r>
        <w:r>
          <w:rPr>
            <w:b/>
            <w:sz w:val="16"/>
          </w:rPr>
          <w:t>E.</w:t>
        </w:r>
        <w:r>
          <w:rPr>
            <w:b/>
            <w:spacing w:val="3"/>
            <w:sz w:val="16"/>
          </w:rPr>
          <w:t> </w:t>
        </w:r>
        <w:r>
          <w:rPr>
            <w:b/>
            <w:spacing w:val="-2"/>
            <w:sz w:val="16"/>
          </w:rPr>
          <w:t>Pedrini</w:t>
        </w:r>
      </w:hyperlink>
    </w:p>
    <w:p>
      <w:pPr>
        <w:spacing w:line="142" w:lineRule="exact" w:before="0"/>
        <w:ind w:left="5856" w:right="0" w:firstLine="0"/>
        <w:jc w:val="left"/>
        <w:rPr>
          <w:sz w:val="12"/>
        </w:rPr>
      </w:pPr>
      <w:r>
        <w:rPr>
          <w:color w:val="6E6158"/>
          <w:spacing w:val="-4"/>
          <w:sz w:val="12"/>
        </w:rPr>
        <w:t>Chair</w:t>
      </w:r>
    </w:p>
    <w:p>
      <w:pPr>
        <w:spacing w:before="72"/>
        <w:ind w:left="5856" w:right="0" w:firstLine="0"/>
        <w:jc w:val="left"/>
        <w:rPr>
          <w:b/>
          <w:sz w:val="12"/>
        </w:rPr>
      </w:pPr>
      <w:hyperlink r:id="rId12">
        <w:r>
          <w:rPr>
            <w:b/>
            <w:spacing w:val="-2"/>
            <w:sz w:val="12"/>
          </w:rPr>
          <w:t>Phoenix</w:t>
        </w:r>
      </w:hyperlink>
    </w:p>
    <w:p>
      <w:pPr>
        <w:spacing w:before="16"/>
        <w:ind w:left="5856" w:right="0" w:firstLine="0"/>
        <w:jc w:val="left"/>
        <w:rPr>
          <w:sz w:val="12"/>
        </w:rPr>
      </w:pPr>
      <w:r>
        <w:rPr>
          <w:color w:val="6E6158"/>
          <w:sz w:val="12"/>
        </w:rPr>
        <w:t>PH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602.916.5487</w:t>
      </w:r>
    </w:p>
    <w:p>
      <w:pPr>
        <w:spacing w:before="7"/>
        <w:ind w:left="5856" w:right="0" w:firstLine="0"/>
        <w:jc w:val="left"/>
        <w:rPr>
          <w:sz w:val="12"/>
        </w:rPr>
      </w:pPr>
      <w:r>
        <w:rPr>
          <w:color w:val="6E6158"/>
          <w:sz w:val="12"/>
        </w:rPr>
        <w:t>FX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602.916.5687</w:t>
      </w:r>
    </w:p>
    <w:p>
      <w:pPr>
        <w:spacing w:line="266" w:lineRule="auto" w:before="16"/>
        <w:ind w:left="5856" w:right="2844" w:firstLine="0"/>
        <w:jc w:val="left"/>
        <w:rPr>
          <w:sz w:val="12"/>
        </w:rPr>
      </w:pPr>
      <w:hyperlink r:id="rId13">
        <w:r>
          <w:rPr>
            <w:color w:val="002E6B"/>
            <w:spacing w:val="-2"/>
            <w:sz w:val="12"/>
            <w:u w:val="single" w:color="002E6B"/>
          </w:rPr>
          <w:t>bpedrini@fennemorel</w:t>
        </w:r>
      </w:hyperlink>
      <w:r>
        <w:rPr>
          <w:color w:val="002E6B"/>
          <w:spacing w:val="40"/>
          <w:sz w:val="12"/>
          <w:u w:val="none"/>
        </w:rPr>
        <w:t> </w:t>
      </w:r>
      <w:hyperlink r:id="rId13">
        <w:r>
          <w:rPr>
            <w:color w:val="002E6B"/>
            <w:spacing w:val="-2"/>
            <w:sz w:val="12"/>
            <w:u w:val="single" w:color="002E6B"/>
          </w:rPr>
          <w:t>aw.com</w:t>
        </w:r>
      </w:hyperlink>
    </w:p>
    <w:p>
      <w:pPr>
        <w:pStyle w:val="BodyText"/>
        <w:spacing w:before="259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WHAT</w:t>
      </w:r>
      <w:r>
        <w:rPr>
          <w:color w:val="FF8100"/>
          <w:spacing w:val="6"/>
        </w:rPr>
        <w:t> </w:t>
      </w:r>
      <w:r>
        <w:rPr>
          <w:color w:val="FF8100"/>
        </w:rPr>
        <w:t>WE</w:t>
      </w:r>
      <w:r>
        <w:rPr>
          <w:color w:val="FF8100"/>
          <w:spacing w:val="5"/>
        </w:rPr>
        <w:t> </w:t>
      </w:r>
      <w:r>
        <w:rPr>
          <w:color w:val="FF8100"/>
          <w:spacing w:val="-5"/>
        </w:rPr>
        <w:t>DO</w:t>
      </w:r>
    </w:p>
    <w:p>
      <w:pPr>
        <w:pStyle w:val="BodyText"/>
        <w:spacing w:line="295" w:lineRule="auto" w:before="147"/>
        <w:ind w:right="761"/>
      </w:pPr>
      <w:r>
        <w:rPr>
          <w:color w:val="6E6158"/>
        </w:rPr>
        <w:t>Educational institutions are more than places of learning. They are employers, property owners,</w:t>
      </w:r>
      <w:r>
        <w:rPr>
          <w:color w:val="6E6158"/>
          <w:spacing w:val="40"/>
        </w:rPr>
        <w:t> </w:t>
      </w:r>
      <w:r>
        <w:rPr>
          <w:color w:val="6E6158"/>
        </w:rPr>
        <w:t>nonprofit organizations, regulated entities, community partners, and businesses entrusted with</w:t>
      </w:r>
      <w:r>
        <w:rPr>
          <w:color w:val="6E6158"/>
          <w:spacing w:val="80"/>
        </w:rPr>
        <w:t> </w:t>
      </w:r>
      <w:r>
        <w:rPr>
          <w:color w:val="6E6158"/>
        </w:rPr>
        <w:t>the well-being and development of their students. Their legal needs are correspondingly </w:t>
      </w:r>
      <w:r>
        <w:rPr>
          <w:color w:val="6E6158"/>
        </w:rPr>
        <w:t>broad</w:t>
      </w:r>
      <w:r>
        <w:rPr>
          <w:color w:val="6E6158"/>
          <w:spacing w:val="40"/>
        </w:rPr>
        <w:t> </w:t>
      </w:r>
      <w:r>
        <w:rPr>
          <w:color w:val="6E6158"/>
        </w:rPr>
        <w:t>and often require counsel who can balance educational missions, operational realities,</w:t>
      </w:r>
      <w:r>
        <w:rPr>
          <w:color w:val="6E6158"/>
          <w:spacing w:val="40"/>
        </w:rPr>
        <w:t> </w:t>
      </w:r>
      <w:r>
        <w:rPr>
          <w:color w:val="6E6158"/>
        </w:rPr>
        <w:t>regulatory obligations, and reputational considerations.</w:t>
      </w:r>
    </w:p>
    <w:p>
      <w:pPr>
        <w:pStyle w:val="BodyText"/>
        <w:spacing w:line="295" w:lineRule="auto" w:before="203"/>
        <w:ind w:right="761"/>
      </w:pPr>
      <w:r>
        <w:rPr>
          <w:color w:val="6E6158"/>
        </w:rPr>
        <w:t>Our Education Practice advises public charter schools, private K–12 schools, public and </w:t>
      </w:r>
      <w:r>
        <w:rPr>
          <w:color w:val="6E6158"/>
        </w:rPr>
        <w:t>private</w:t>
      </w:r>
      <w:r>
        <w:rPr>
          <w:color w:val="6E6158"/>
          <w:spacing w:val="40"/>
        </w:rPr>
        <w:t> </w:t>
      </w:r>
      <w:r>
        <w:rPr>
          <w:color w:val="6E6158"/>
        </w:rPr>
        <w:t>colleges and universities, and early childhood education centers. We provide practical, multidisciplinary counsel throughout the life cycle of an educational institution, from formation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expansion</w:t>
      </w:r>
      <w:r>
        <w:rPr>
          <w:color w:val="6E6158"/>
          <w:spacing w:val="40"/>
        </w:rPr>
        <w:t>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daily</w:t>
      </w:r>
      <w:r>
        <w:rPr>
          <w:color w:val="6E6158"/>
          <w:spacing w:val="40"/>
        </w:rPr>
        <w:t> </w:t>
      </w:r>
      <w:r>
        <w:rPr>
          <w:color w:val="6E6158"/>
        </w:rPr>
        <w:t>operations,</w:t>
      </w:r>
      <w:r>
        <w:rPr>
          <w:color w:val="6E6158"/>
          <w:spacing w:val="40"/>
        </w:rPr>
        <w:t> </w:t>
      </w:r>
      <w:r>
        <w:rPr>
          <w:color w:val="6E6158"/>
        </w:rPr>
        <w:t>regulatory</w:t>
      </w:r>
      <w:r>
        <w:rPr>
          <w:color w:val="6E6158"/>
          <w:spacing w:val="40"/>
        </w:rPr>
        <w:t> </w:t>
      </w:r>
      <w:r>
        <w:rPr>
          <w:color w:val="6E6158"/>
        </w:rPr>
        <w:t>compliance,</w:t>
      </w:r>
      <w:r>
        <w:rPr>
          <w:color w:val="6E6158"/>
          <w:spacing w:val="40"/>
        </w:rPr>
        <w:t> </w:t>
      </w:r>
      <w:r>
        <w:rPr>
          <w:color w:val="6E6158"/>
        </w:rPr>
        <w:t>investigations,</w:t>
      </w:r>
      <w:r>
        <w:rPr>
          <w:color w:val="6E6158"/>
          <w:spacing w:val="40"/>
        </w:rPr>
        <w:t> </w:t>
      </w:r>
      <w:r>
        <w:rPr>
          <w:color w:val="6E6158"/>
        </w:rPr>
        <w:t>real</w:t>
      </w:r>
      <w:r>
        <w:rPr>
          <w:color w:val="6E6158"/>
          <w:spacing w:val="40"/>
        </w:rPr>
        <w:t> </w:t>
      </w:r>
      <w:r>
        <w:rPr>
          <w:color w:val="6E6158"/>
        </w:rPr>
        <w:t>estate</w:t>
      </w:r>
    </w:p>
    <w:p>
      <w:pPr>
        <w:pStyle w:val="BodyText"/>
        <w:spacing w:before="1"/>
      </w:pPr>
      <w:r>
        <w:rPr>
          <w:color w:val="6E6158"/>
        </w:rPr>
        <w:t>transactions,</w:t>
      </w:r>
      <w:r>
        <w:rPr>
          <w:color w:val="6E6158"/>
          <w:spacing w:val="18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institutional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change.</w:t>
      </w:r>
    </w:p>
    <w:p>
      <w:pPr>
        <w:pStyle w:val="BodyText"/>
        <w:spacing w:before="14"/>
        <w:ind w:left="0"/>
      </w:pPr>
    </w:p>
    <w:p>
      <w:pPr>
        <w:pStyle w:val="BodyText"/>
        <w:spacing w:line="292" w:lineRule="auto"/>
        <w:ind w:right="577"/>
      </w:pPr>
      <w:r>
        <w:rPr>
          <w:color w:val="6E6158"/>
        </w:rPr>
        <w:t>Whether serving as outside general counsel or assisting with a specific matter, our lawyers work</w:t>
      </w:r>
      <w:r>
        <w:rPr>
          <w:color w:val="6E6158"/>
          <w:spacing w:val="40"/>
        </w:rPr>
        <w:t> </w:t>
      </w:r>
      <w:r>
        <w:rPr>
          <w:color w:val="6E6158"/>
        </w:rPr>
        <w:t>closely</w:t>
      </w:r>
      <w:r>
        <w:rPr>
          <w:color w:val="6E6158"/>
          <w:spacing w:val="26"/>
        </w:rPr>
        <w:t> </w:t>
      </w:r>
      <w:r>
        <w:rPr>
          <w:color w:val="6E6158"/>
        </w:rPr>
        <w:t>with</w:t>
      </w:r>
      <w:r>
        <w:rPr>
          <w:color w:val="6E6158"/>
          <w:spacing w:val="26"/>
        </w:rPr>
        <w:t> </w:t>
      </w:r>
      <w:r>
        <w:rPr>
          <w:color w:val="6E6158"/>
        </w:rPr>
        <w:t>governing</w:t>
      </w:r>
      <w:r>
        <w:rPr>
          <w:color w:val="6E6158"/>
          <w:spacing w:val="26"/>
        </w:rPr>
        <w:t> </w:t>
      </w:r>
      <w:r>
        <w:rPr>
          <w:color w:val="6E6158"/>
        </w:rPr>
        <w:t>boards,</w:t>
      </w:r>
      <w:r>
        <w:rPr>
          <w:color w:val="6E6158"/>
          <w:spacing w:val="26"/>
        </w:rPr>
        <w:t> </w:t>
      </w:r>
      <w:r>
        <w:rPr>
          <w:color w:val="6E6158"/>
        </w:rPr>
        <w:t>school</w:t>
      </w:r>
      <w:r>
        <w:rPr>
          <w:color w:val="6E6158"/>
          <w:spacing w:val="26"/>
        </w:rPr>
        <w:t> </w:t>
      </w:r>
      <w:r>
        <w:rPr>
          <w:color w:val="6E6158"/>
        </w:rPr>
        <w:t>leaders,</w:t>
      </w:r>
      <w:r>
        <w:rPr>
          <w:color w:val="6E6158"/>
          <w:spacing w:val="26"/>
        </w:rPr>
        <w:t> </w:t>
      </w:r>
      <w:r>
        <w:rPr>
          <w:color w:val="6E6158"/>
        </w:rPr>
        <w:t>administrators,</w:t>
      </w:r>
      <w:r>
        <w:rPr>
          <w:color w:val="6E6158"/>
          <w:spacing w:val="26"/>
        </w:rPr>
        <w:t> </w:t>
      </w:r>
      <w:r>
        <w:rPr>
          <w:color w:val="6E6158"/>
        </w:rPr>
        <w:t>in-house</w:t>
      </w:r>
      <w:r>
        <w:rPr>
          <w:color w:val="6E6158"/>
          <w:spacing w:val="26"/>
        </w:rPr>
        <w:t> </w:t>
      </w:r>
      <w:r>
        <w:rPr>
          <w:color w:val="6E6158"/>
        </w:rPr>
        <w:t>legal</w:t>
      </w:r>
      <w:r>
        <w:rPr>
          <w:color w:val="6E6158"/>
          <w:spacing w:val="26"/>
        </w:rPr>
        <w:t> </w:t>
      </w:r>
      <w:r>
        <w:rPr>
          <w:color w:val="6E6158"/>
        </w:rPr>
        <w:t>teams,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other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080" w:right="1080"/>
        </w:sectPr>
      </w:pPr>
    </w:p>
    <w:p>
      <w:pPr>
        <w:pStyle w:val="BodyText"/>
        <w:spacing w:line="297" w:lineRule="auto" w:before="83"/>
        <w:ind w:right="761"/>
      </w:pPr>
      <w:r>
        <w:rPr>
          <w:color w:val="6E6158"/>
        </w:rPr>
        <w:t>stakeholders. We understand that decisions in an educational setting rarely involve legal considerations alone. They can affect students, families, employees, governing bodies, </w:t>
      </w:r>
      <w:r>
        <w:rPr>
          <w:color w:val="6E6158"/>
        </w:rPr>
        <w:t>donors,</w:t>
      </w:r>
      <w:r>
        <w:rPr>
          <w:color w:val="6E6158"/>
          <w:spacing w:val="40"/>
        </w:rPr>
        <w:t> </w:t>
      </w:r>
      <w:r>
        <w:rPr>
          <w:color w:val="6E6158"/>
        </w:rPr>
        <w:t>regulators,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the</w:t>
      </w:r>
      <w:r>
        <w:rPr>
          <w:color w:val="6E6158"/>
          <w:spacing w:val="36"/>
        </w:rPr>
        <w:t> </w:t>
      </w:r>
      <w:r>
        <w:rPr>
          <w:color w:val="6E6158"/>
        </w:rPr>
        <w:t>broader</w:t>
      </w:r>
      <w:r>
        <w:rPr>
          <w:color w:val="6E6158"/>
          <w:spacing w:val="36"/>
        </w:rPr>
        <w:t> </w:t>
      </w:r>
      <w:r>
        <w:rPr>
          <w:color w:val="6E6158"/>
        </w:rPr>
        <w:t>community.</w:t>
      </w:r>
      <w:r>
        <w:rPr>
          <w:color w:val="6E6158"/>
          <w:spacing w:val="36"/>
        </w:rPr>
        <w:t> </w:t>
      </w:r>
      <w:r>
        <w:rPr>
          <w:color w:val="6E6158"/>
        </w:rPr>
        <w:t>Our</w:t>
      </w:r>
      <w:r>
        <w:rPr>
          <w:color w:val="6E6158"/>
          <w:spacing w:val="36"/>
        </w:rPr>
        <w:t> </w:t>
      </w:r>
      <w:r>
        <w:rPr>
          <w:color w:val="6E6158"/>
        </w:rPr>
        <w:t>advice</w:t>
      </w:r>
      <w:r>
        <w:rPr>
          <w:color w:val="6E6158"/>
          <w:spacing w:val="36"/>
        </w:rPr>
        <w:t> </w:t>
      </w:r>
      <w:r>
        <w:rPr>
          <w:color w:val="6E6158"/>
        </w:rPr>
        <w:t>reflects</w:t>
      </w:r>
      <w:r>
        <w:rPr>
          <w:color w:val="6E6158"/>
          <w:spacing w:val="36"/>
        </w:rPr>
        <w:t> </w:t>
      </w:r>
      <w:r>
        <w:rPr>
          <w:color w:val="6E6158"/>
        </w:rPr>
        <w:t>that</w:t>
      </w:r>
      <w:r>
        <w:rPr>
          <w:color w:val="6E6158"/>
          <w:spacing w:val="36"/>
        </w:rPr>
        <w:t> </w:t>
      </w:r>
      <w:r>
        <w:rPr>
          <w:color w:val="6E6158"/>
        </w:rPr>
        <w:t>wider</w:t>
      </w:r>
      <w:r>
        <w:rPr>
          <w:color w:val="6E6158"/>
          <w:spacing w:val="36"/>
        </w:rPr>
        <w:t> </w:t>
      </w:r>
      <w:r>
        <w:rPr>
          <w:color w:val="6E6158"/>
        </w:rPr>
        <w:t>perspective.</w:t>
      </w:r>
    </w:p>
    <w:p>
      <w:pPr>
        <w:pStyle w:val="Heading1"/>
        <w:spacing w:before="158"/>
      </w:pPr>
      <w:r>
        <w:rPr>
          <w:color w:val="FF8100"/>
        </w:rPr>
        <w:t>A</w:t>
      </w:r>
      <w:r>
        <w:rPr>
          <w:color w:val="FF8100"/>
          <w:spacing w:val="11"/>
        </w:rPr>
        <w:t> </w:t>
      </w:r>
      <w:r>
        <w:rPr>
          <w:color w:val="FF8100"/>
        </w:rPr>
        <w:t>MULTIDISCIPLINARY</w:t>
      </w:r>
      <w:r>
        <w:rPr>
          <w:color w:val="FF8100"/>
          <w:spacing w:val="12"/>
        </w:rPr>
        <w:t> </w:t>
      </w:r>
      <w:r>
        <w:rPr>
          <w:color w:val="FF8100"/>
        </w:rPr>
        <w:t>APPROACH</w:t>
      </w:r>
      <w:r>
        <w:rPr>
          <w:color w:val="FF8100"/>
          <w:spacing w:val="12"/>
        </w:rPr>
        <w:t> </w:t>
      </w:r>
      <w:r>
        <w:rPr>
          <w:color w:val="FF8100"/>
        </w:rPr>
        <w:t>TO</w:t>
      </w:r>
      <w:r>
        <w:rPr>
          <w:color w:val="FF8100"/>
          <w:spacing w:val="11"/>
        </w:rPr>
        <w:t> </w:t>
      </w:r>
      <w:r>
        <w:rPr>
          <w:color w:val="FF8100"/>
        </w:rPr>
        <w:t>EDUCATION</w:t>
      </w:r>
      <w:r>
        <w:rPr>
          <w:color w:val="FF8100"/>
          <w:spacing w:val="12"/>
        </w:rPr>
        <w:t> </w:t>
      </w:r>
      <w:r>
        <w:rPr>
          <w:color w:val="FF8100"/>
          <w:spacing w:val="-5"/>
        </w:rPr>
        <w:t>LAW</w:t>
      </w:r>
    </w:p>
    <w:p>
      <w:pPr>
        <w:pStyle w:val="BodyText"/>
        <w:spacing w:line="292" w:lineRule="auto" w:before="146"/>
        <w:ind w:right="761"/>
      </w:pPr>
      <w:r>
        <w:rPr>
          <w:color w:val="6E6158"/>
        </w:rPr>
        <w:t>No single area of law captures the full range of challenges educational institutions encounter. A</w:t>
      </w:r>
      <w:r>
        <w:rPr>
          <w:color w:val="6E6158"/>
          <w:spacing w:val="40"/>
        </w:rPr>
        <w:t> </w:t>
      </w:r>
      <w:r>
        <w:rPr>
          <w:color w:val="6E6158"/>
        </w:rPr>
        <w:t>student</w:t>
      </w:r>
      <w:r>
        <w:rPr>
          <w:color w:val="6E6158"/>
          <w:spacing w:val="40"/>
        </w:rPr>
        <w:t> </w:t>
      </w:r>
      <w:r>
        <w:rPr>
          <w:color w:val="6E6158"/>
        </w:rPr>
        <w:t>complaint</w:t>
      </w:r>
      <w:r>
        <w:rPr>
          <w:color w:val="6E6158"/>
          <w:spacing w:val="40"/>
        </w:rPr>
        <w:t> </w:t>
      </w:r>
      <w:r>
        <w:rPr>
          <w:color w:val="6E6158"/>
        </w:rPr>
        <w:t>may</w:t>
      </w:r>
      <w:r>
        <w:rPr>
          <w:color w:val="6E6158"/>
          <w:spacing w:val="40"/>
        </w:rPr>
        <w:t> </w:t>
      </w:r>
      <w:r>
        <w:rPr>
          <w:color w:val="6E6158"/>
        </w:rPr>
        <w:t>implicate</w:t>
      </w:r>
      <w:r>
        <w:rPr>
          <w:color w:val="6E6158"/>
          <w:spacing w:val="40"/>
        </w:rPr>
        <w:t> </w:t>
      </w:r>
      <w:r>
        <w:rPr>
          <w:color w:val="6E6158"/>
        </w:rPr>
        <w:t>civil</w:t>
      </w:r>
      <w:r>
        <w:rPr>
          <w:color w:val="6E6158"/>
          <w:spacing w:val="40"/>
        </w:rPr>
        <w:t> </w:t>
      </w:r>
      <w:r>
        <w:rPr>
          <w:color w:val="6E6158"/>
        </w:rPr>
        <w:t>rights,</w:t>
      </w:r>
      <w:r>
        <w:rPr>
          <w:color w:val="6E6158"/>
          <w:spacing w:val="40"/>
        </w:rPr>
        <w:t> </w:t>
      </w:r>
      <w:r>
        <w:rPr>
          <w:color w:val="6E6158"/>
        </w:rPr>
        <w:t>disability</w:t>
      </w:r>
      <w:r>
        <w:rPr>
          <w:color w:val="6E6158"/>
          <w:spacing w:val="40"/>
        </w:rPr>
        <w:t> </w:t>
      </w:r>
      <w:r>
        <w:rPr>
          <w:color w:val="6E6158"/>
        </w:rPr>
        <w:t>access,</w:t>
      </w:r>
      <w:r>
        <w:rPr>
          <w:color w:val="6E6158"/>
          <w:spacing w:val="40"/>
        </w:rPr>
        <w:t> </w:t>
      </w:r>
      <w:r>
        <w:rPr>
          <w:color w:val="6E6158"/>
        </w:rPr>
        <w:t>privacy,</w:t>
      </w:r>
      <w:r>
        <w:rPr>
          <w:color w:val="6E6158"/>
          <w:spacing w:val="40"/>
        </w:rPr>
        <w:t> </w:t>
      </w:r>
      <w:r>
        <w:rPr>
          <w:color w:val="6E6158"/>
        </w:rPr>
        <w:t>employment,</w:t>
      </w:r>
    </w:p>
    <w:p>
      <w:pPr>
        <w:pStyle w:val="BodyText"/>
        <w:spacing w:line="297" w:lineRule="auto" w:before="1"/>
        <w:ind w:right="541"/>
      </w:pPr>
      <w:r>
        <w:rPr>
          <w:color w:val="6E6158"/>
        </w:rPr>
        <w:t>governance, and reputational concerns. A campus acquisition may involve corporate </w:t>
      </w:r>
      <w:r>
        <w:rPr>
          <w:color w:val="6E6158"/>
        </w:rPr>
        <w:t>authority,</w:t>
      </w:r>
      <w:r>
        <w:rPr>
          <w:color w:val="6E6158"/>
          <w:spacing w:val="40"/>
        </w:rPr>
        <w:t> </w:t>
      </w:r>
      <w:r>
        <w:rPr>
          <w:color w:val="6E6158"/>
        </w:rPr>
        <w:t>financing, zoning, environmental review, construction, and accessibility. A leadership transition</w:t>
      </w:r>
      <w:r>
        <w:rPr>
          <w:color w:val="6E6158"/>
          <w:spacing w:val="80"/>
        </w:rPr>
        <w:t> </w:t>
      </w:r>
      <w:r>
        <w:rPr>
          <w:color w:val="6E6158"/>
        </w:rPr>
        <w:t>may</w:t>
      </w:r>
      <w:r>
        <w:rPr>
          <w:color w:val="6E6158"/>
          <w:spacing w:val="40"/>
        </w:rPr>
        <w:t> </w:t>
      </w:r>
      <w:r>
        <w:rPr>
          <w:color w:val="6E6158"/>
        </w:rPr>
        <w:t>require</w:t>
      </w:r>
      <w:r>
        <w:rPr>
          <w:color w:val="6E6158"/>
          <w:spacing w:val="40"/>
        </w:rPr>
        <w:t> </w:t>
      </w:r>
      <w:r>
        <w:rPr>
          <w:color w:val="6E6158"/>
        </w:rPr>
        <w:t>coordinated</w:t>
      </w:r>
      <w:r>
        <w:rPr>
          <w:color w:val="6E6158"/>
          <w:spacing w:val="40"/>
        </w:rPr>
        <w:t> </w:t>
      </w:r>
      <w:r>
        <w:rPr>
          <w:color w:val="6E6158"/>
        </w:rPr>
        <w:t>advice</w:t>
      </w:r>
      <w:r>
        <w:rPr>
          <w:color w:val="6E6158"/>
          <w:spacing w:val="40"/>
        </w:rPr>
        <w:t> </w:t>
      </w:r>
      <w:r>
        <w:rPr>
          <w:color w:val="6E6158"/>
        </w:rPr>
        <w:t>concerning</w:t>
      </w:r>
      <w:r>
        <w:rPr>
          <w:color w:val="6E6158"/>
          <w:spacing w:val="40"/>
        </w:rPr>
        <w:t> </w:t>
      </w:r>
      <w:r>
        <w:rPr>
          <w:color w:val="6E6158"/>
        </w:rPr>
        <w:t>governance,</w:t>
      </w:r>
      <w:r>
        <w:rPr>
          <w:color w:val="6E6158"/>
          <w:spacing w:val="40"/>
        </w:rPr>
        <w:t> </w:t>
      </w:r>
      <w:r>
        <w:rPr>
          <w:color w:val="6E6158"/>
        </w:rPr>
        <w:t>contracts,</w:t>
      </w:r>
      <w:r>
        <w:rPr>
          <w:color w:val="6E6158"/>
          <w:spacing w:val="40"/>
        </w:rPr>
        <w:t> </w:t>
      </w:r>
      <w:r>
        <w:rPr>
          <w:color w:val="6E6158"/>
        </w:rPr>
        <w:t>employment,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</w:p>
    <w:p>
      <w:pPr>
        <w:pStyle w:val="BodyText"/>
        <w:spacing w:line="229" w:lineRule="exact"/>
      </w:pPr>
      <w:r>
        <w:rPr>
          <w:color w:val="6E6158"/>
          <w:spacing w:val="-2"/>
        </w:rPr>
        <w:t>communications.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 w:before="1"/>
        <w:ind w:right="541"/>
      </w:pPr>
      <w:r>
        <w:rPr>
          <w:color w:val="6E6158"/>
        </w:rPr>
        <w:t>Our Education Practice draws upon lawyers across the firm to provide coordinated advice in the</w:t>
      </w:r>
      <w:r>
        <w:rPr>
          <w:color w:val="6E6158"/>
          <w:spacing w:val="40"/>
        </w:rPr>
        <w:t> </w:t>
      </w:r>
      <w:r>
        <w:rPr>
          <w:color w:val="6E6158"/>
        </w:rPr>
        <w:t>areas that matter most to each institution. This multidisciplinary approach allows us to address</w:t>
      </w:r>
      <w:r>
        <w:rPr>
          <w:color w:val="6E6158"/>
          <w:spacing w:val="40"/>
        </w:rPr>
        <w:t> </w:t>
      </w:r>
      <w:r>
        <w:rPr>
          <w:color w:val="6E6158"/>
        </w:rPr>
        <w:t>immediate legal needs while helping clients anticipate the operational and strategic</w:t>
      </w:r>
      <w:r>
        <w:rPr>
          <w:color w:val="6E6158"/>
          <w:spacing w:val="40"/>
        </w:rPr>
        <w:t> </w:t>
      </w:r>
      <w:r>
        <w:rPr>
          <w:color w:val="6E6158"/>
        </w:rPr>
        <w:t>consequences of their decisions.</w:t>
      </w:r>
    </w:p>
    <w:p>
      <w:pPr>
        <w:pStyle w:val="Heading1"/>
        <w:spacing w:before="170"/>
      </w:pPr>
      <w:r>
        <w:rPr>
          <w:color w:val="FF8100"/>
        </w:rPr>
        <w:t>OUTSIDE</w:t>
      </w:r>
      <w:r>
        <w:rPr>
          <w:color w:val="FF8100"/>
          <w:spacing w:val="11"/>
        </w:rPr>
        <w:t> </w:t>
      </w:r>
      <w:r>
        <w:rPr>
          <w:color w:val="FF8100"/>
        </w:rPr>
        <w:t>GENERAL</w:t>
      </w:r>
      <w:r>
        <w:rPr>
          <w:color w:val="FF8100"/>
          <w:spacing w:val="11"/>
        </w:rPr>
        <w:t> </w:t>
      </w:r>
      <w:r>
        <w:rPr>
          <w:color w:val="FF8100"/>
        </w:rPr>
        <w:t>COUNSEL</w:t>
      </w:r>
      <w:r>
        <w:rPr>
          <w:color w:val="FF8100"/>
          <w:spacing w:val="11"/>
        </w:rPr>
        <w:t> </w:t>
      </w:r>
      <w:r>
        <w:rPr>
          <w:color w:val="FF8100"/>
        </w:rPr>
        <w:t>FOR</w:t>
      </w:r>
      <w:r>
        <w:rPr>
          <w:color w:val="FF8100"/>
          <w:spacing w:val="12"/>
        </w:rPr>
        <w:t> </w:t>
      </w:r>
      <w:r>
        <w:rPr>
          <w:color w:val="FF8100"/>
        </w:rPr>
        <w:t>EDUCATIONAL</w:t>
      </w:r>
      <w:r>
        <w:rPr>
          <w:color w:val="FF8100"/>
          <w:spacing w:val="11"/>
        </w:rPr>
        <w:t> </w:t>
      </w:r>
      <w:r>
        <w:rPr>
          <w:color w:val="FF8100"/>
          <w:spacing w:val="-2"/>
        </w:rPr>
        <w:t>INSTITUTIONS</w:t>
      </w:r>
    </w:p>
    <w:p>
      <w:pPr>
        <w:pStyle w:val="BodyText"/>
        <w:spacing w:line="292" w:lineRule="auto" w:before="147"/>
        <w:ind w:right="761"/>
      </w:pPr>
      <w:r>
        <w:rPr>
          <w:color w:val="6E6158"/>
        </w:rPr>
        <w:t>Educational institutions face legal questions every day. Many require prompt, practical</w:t>
      </w:r>
      <w:r>
        <w:rPr>
          <w:color w:val="6E6158"/>
          <w:spacing w:val="40"/>
        </w:rPr>
        <w:t> </w:t>
      </w:r>
      <w:r>
        <w:rPr>
          <w:color w:val="6E6158"/>
        </w:rPr>
        <w:t>guidance informed by an understanding of the institution’s mission, structure, culture, and </w:t>
      </w:r>
      <w:r>
        <w:rPr>
          <w:color w:val="6E6158"/>
        </w:rPr>
        <w:t>risk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profile.</w:t>
      </w:r>
    </w:p>
    <w:p>
      <w:pPr>
        <w:pStyle w:val="BodyText"/>
        <w:spacing w:line="297" w:lineRule="auto" w:before="197"/>
        <w:ind w:right="761"/>
      </w:pPr>
      <w:r>
        <w:rPr>
          <w:color w:val="6E6158"/>
        </w:rPr>
        <w:t>We serve as outside general counsel to educational organizations, providing a consistent point</w:t>
      </w:r>
      <w:r>
        <w:rPr>
          <w:color w:val="6E6158"/>
          <w:spacing w:val="80"/>
        </w:rPr>
        <w:t> </w:t>
      </w:r>
      <w:r>
        <w:rPr>
          <w:color w:val="6E6158"/>
        </w:rPr>
        <w:t>of contact for their legal needs and coordinating support across relevant practice areas. Our</w:t>
      </w:r>
      <w:r>
        <w:rPr>
          <w:color w:val="6E6158"/>
          <w:spacing w:val="40"/>
        </w:rPr>
        <w:t> </w:t>
      </w:r>
      <w:r>
        <w:rPr>
          <w:color w:val="6E6158"/>
        </w:rPr>
        <w:t>lawyers</w:t>
      </w:r>
      <w:r>
        <w:rPr>
          <w:color w:val="6E6158"/>
          <w:spacing w:val="34"/>
        </w:rPr>
        <w:t> </w:t>
      </w:r>
      <w:r>
        <w:rPr>
          <w:color w:val="6E6158"/>
        </w:rPr>
        <w:t>help</w:t>
      </w:r>
      <w:r>
        <w:rPr>
          <w:color w:val="6E6158"/>
          <w:spacing w:val="34"/>
        </w:rPr>
        <w:t> </w:t>
      </w:r>
      <w:r>
        <w:rPr>
          <w:color w:val="6E6158"/>
        </w:rPr>
        <w:t>institutional</w:t>
      </w:r>
      <w:r>
        <w:rPr>
          <w:color w:val="6E6158"/>
          <w:spacing w:val="34"/>
        </w:rPr>
        <w:t> </w:t>
      </w:r>
      <w:r>
        <w:rPr>
          <w:color w:val="6E6158"/>
        </w:rPr>
        <w:t>leaders</w:t>
      </w:r>
      <w:r>
        <w:rPr>
          <w:color w:val="6E6158"/>
          <w:spacing w:val="34"/>
        </w:rPr>
        <w:t> </w:t>
      </w:r>
      <w:r>
        <w:rPr>
          <w:color w:val="6E6158"/>
        </w:rPr>
        <w:t>evaluate</w:t>
      </w:r>
      <w:r>
        <w:rPr>
          <w:color w:val="6E6158"/>
          <w:spacing w:val="34"/>
        </w:rPr>
        <w:t> </w:t>
      </w:r>
      <w:r>
        <w:rPr>
          <w:color w:val="6E6158"/>
        </w:rPr>
        <w:t>risk,</w:t>
      </w:r>
      <w:r>
        <w:rPr>
          <w:color w:val="6E6158"/>
          <w:spacing w:val="34"/>
        </w:rPr>
        <w:t> </w:t>
      </w:r>
      <w:r>
        <w:rPr>
          <w:color w:val="6E6158"/>
        </w:rPr>
        <w:t>develop</w:t>
      </w:r>
      <w:r>
        <w:rPr>
          <w:color w:val="6E6158"/>
          <w:spacing w:val="34"/>
        </w:rPr>
        <w:t> </w:t>
      </w:r>
      <w:r>
        <w:rPr>
          <w:color w:val="6E6158"/>
        </w:rPr>
        <w:t>sound</w:t>
      </w:r>
      <w:r>
        <w:rPr>
          <w:color w:val="6E6158"/>
          <w:spacing w:val="34"/>
        </w:rPr>
        <w:t> </w:t>
      </w:r>
      <w:r>
        <w:rPr>
          <w:color w:val="6E6158"/>
        </w:rPr>
        <w:t>policies,</w:t>
      </w:r>
      <w:r>
        <w:rPr>
          <w:color w:val="6E6158"/>
          <w:spacing w:val="34"/>
        </w:rPr>
        <w:t> </w:t>
      </w:r>
      <w:r>
        <w:rPr>
          <w:color w:val="6E6158"/>
        </w:rPr>
        <w:t>respond</w:t>
      </w:r>
      <w:r>
        <w:rPr>
          <w:color w:val="6E6158"/>
          <w:spacing w:val="34"/>
        </w:rPr>
        <w:t> </w:t>
      </w:r>
      <w:r>
        <w:rPr>
          <w:color w:val="6E6158"/>
        </w:rPr>
        <w:t>to</w:t>
      </w:r>
      <w:r>
        <w:rPr>
          <w:color w:val="6E6158"/>
          <w:spacing w:val="34"/>
        </w:rPr>
        <w:t> </w:t>
      </w:r>
      <w:r>
        <w:rPr>
          <w:color w:val="6E6158"/>
        </w:rPr>
        <w:t>sensitive</w:t>
      </w:r>
    </w:p>
    <w:p>
      <w:pPr>
        <w:pStyle w:val="BodyText"/>
        <w:spacing w:line="302" w:lineRule="auto"/>
        <w:ind w:right="761"/>
      </w:pPr>
      <w:r>
        <w:rPr>
          <w:color w:val="6E6158"/>
        </w:rPr>
        <w:t>situations, and make decisions that advance both educational objectives and long-</w:t>
      </w:r>
      <w:r>
        <w:rPr>
          <w:color w:val="6E6158"/>
        </w:rPr>
        <w:t>term</w:t>
      </w:r>
      <w:r>
        <w:rPr>
          <w:color w:val="6E6158"/>
          <w:spacing w:val="40"/>
        </w:rPr>
        <w:t> </w:t>
      </w:r>
      <w:r>
        <w:rPr>
          <w:color w:val="6E6158"/>
        </w:rPr>
        <w:t>organizational stability.</w:t>
      </w:r>
    </w:p>
    <w:p>
      <w:pPr>
        <w:pStyle w:val="BodyText"/>
        <w:spacing w:before="182"/>
      </w:pPr>
      <w:r>
        <w:rPr>
          <w:color w:val="6E6158"/>
        </w:rPr>
        <w:t>We</w:t>
      </w:r>
      <w:r>
        <w:rPr>
          <w:color w:val="6E6158"/>
          <w:spacing w:val="3"/>
        </w:rPr>
        <w:t> </w:t>
      </w:r>
      <w:r>
        <w:rPr>
          <w:color w:val="6E6158"/>
        </w:rPr>
        <w:t>assist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with:</w:t>
      </w:r>
    </w:p>
    <w:p>
      <w:pPr>
        <w:pStyle w:val="BodyText"/>
        <w:spacing w:before="14"/>
        <w:ind w:left="0"/>
      </w:pPr>
    </w:p>
    <w:p>
      <w:pPr>
        <w:pStyle w:val="BodyText"/>
        <w:spacing w:line="422" w:lineRule="auto"/>
        <w:ind w:right="5428"/>
      </w:pPr>
      <w:r>
        <w:rPr>
          <w:color w:val="6E6158"/>
        </w:rPr>
        <w:t>Governance and board responsibilities Institutional policies and procedures Contracts and commercial </w:t>
      </w:r>
      <w:r>
        <w:rPr>
          <w:color w:val="6E6158"/>
        </w:rPr>
        <w:t>relationships Student and family matters</w:t>
      </w:r>
    </w:p>
    <w:p>
      <w:pPr>
        <w:pStyle w:val="BodyText"/>
        <w:spacing w:line="420" w:lineRule="auto"/>
        <w:ind w:right="5428"/>
      </w:pPr>
      <w:r>
        <w:rPr>
          <w:color w:val="6E6158"/>
        </w:rPr>
        <w:t>Faculty, staff, and employment </w:t>
      </w:r>
      <w:r>
        <w:rPr>
          <w:color w:val="6E6158"/>
        </w:rPr>
        <w:t>issues Regulatory compliance</w:t>
      </w:r>
    </w:p>
    <w:p>
      <w:pPr>
        <w:pStyle w:val="BodyText"/>
        <w:spacing w:before="2"/>
      </w:pPr>
      <w:r>
        <w:rPr>
          <w:color w:val="6E6158"/>
        </w:rPr>
        <w:t>Risk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management</w:t>
      </w:r>
    </w:p>
    <w:p>
      <w:pPr>
        <w:pStyle w:val="BodyText"/>
        <w:spacing w:line="420" w:lineRule="auto" w:before="174"/>
        <w:ind w:right="5428"/>
      </w:pPr>
      <w:r>
        <w:rPr>
          <w:color w:val="6E6158"/>
        </w:rPr>
        <w:t>Internal complaints and </w:t>
      </w:r>
      <w:r>
        <w:rPr>
          <w:color w:val="6E6158"/>
        </w:rPr>
        <w:t>investigations Facilities and real estate</w:t>
      </w:r>
    </w:p>
    <w:p>
      <w:pPr>
        <w:pStyle w:val="BodyText"/>
        <w:spacing w:line="231" w:lineRule="exact"/>
      </w:pPr>
      <w:r>
        <w:rPr>
          <w:color w:val="6E6158"/>
        </w:rPr>
        <w:t>Crisis</w:t>
      </w:r>
      <w:r>
        <w:rPr>
          <w:color w:val="6E6158"/>
          <w:spacing w:val="14"/>
        </w:rPr>
        <w:t> </w:t>
      </w:r>
      <w:r>
        <w:rPr>
          <w:color w:val="6E6158"/>
        </w:rPr>
        <w:t>response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reputational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concerns</w:t>
      </w:r>
    </w:p>
    <w:p>
      <w:pPr>
        <w:pStyle w:val="BodyText"/>
        <w:spacing w:before="182"/>
      </w:pPr>
      <w:r>
        <w:rPr>
          <w:color w:val="6E6158"/>
        </w:rPr>
        <w:t>Coordination</w:t>
      </w:r>
      <w:r>
        <w:rPr>
          <w:color w:val="6E6158"/>
          <w:spacing w:val="17"/>
        </w:rPr>
        <w:t> </w:t>
      </w:r>
      <w:r>
        <w:rPr>
          <w:color w:val="6E6158"/>
        </w:rPr>
        <w:t>with</w:t>
      </w:r>
      <w:r>
        <w:rPr>
          <w:color w:val="6E6158"/>
          <w:spacing w:val="17"/>
        </w:rPr>
        <w:t> </w:t>
      </w:r>
      <w:r>
        <w:rPr>
          <w:color w:val="6E6158"/>
        </w:rPr>
        <w:t>governmental</w:t>
      </w:r>
      <w:r>
        <w:rPr>
          <w:color w:val="6E6158"/>
          <w:spacing w:val="17"/>
        </w:rPr>
        <w:t> </w:t>
      </w:r>
      <w:r>
        <w:rPr>
          <w:color w:val="6E6158"/>
        </w:rPr>
        <w:t>agencies,</w:t>
      </w:r>
      <w:r>
        <w:rPr>
          <w:color w:val="6E6158"/>
          <w:spacing w:val="17"/>
        </w:rPr>
        <w:t> </w:t>
      </w:r>
      <w:r>
        <w:rPr>
          <w:color w:val="6E6158"/>
        </w:rPr>
        <w:t>regulators,</w:t>
      </w:r>
      <w:r>
        <w:rPr>
          <w:color w:val="6E6158"/>
          <w:spacing w:val="18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other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stakeholders</w:t>
      </w:r>
    </w:p>
    <w:p>
      <w:pPr>
        <w:pStyle w:val="BodyText"/>
        <w:spacing w:before="63"/>
        <w:ind w:left="0"/>
      </w:pPr>
    </w:p>
    <w:p>
      <w:pPr>
        <w:pStyle w:val="BodyText"/>
        <w:spacing w:line="292" w:lineRule="auto"/>
        <w:ind w:right="577"/>
      </w:pPr>
      <w:r>
        <w:rPr>
          <w:color w:val="6E6158"/>
        </w:rPr>
        <w:t>By developing a close working relationship with institutional leadership, we can provide </w:t>
      </w:r>
      <w:r>
        <w:rPr>
          <w:color w:val="6E6158"/>
        </w:rPr>
        <w:t>advice</w:t>
      </w:r>
      <w:r>
        <w:rPr>
          <w:color w:val="6E6158"/>
          <w:spacing w:val="40"/>
        </w:rPr>
        <w:t> </w:t>
      </w:r>
      <w:r>
        <w:rPr>
          <w:color w:val="6E6158"/>
        </w:rPr>
        <w:t>that</w:t>
      </w:r>
      <w:r>
        <w:rPr>
          <w:color w:val="6E6158"/>
          <w:spacing w:val="28"/>
        </w:rPr>
        <w:t> </w:t>
      </w:r>
      <w:r>
        <w:rPr>
          <w:color w:val="6E6158"/>
        </w:rPr>
        <w:t>is</w:t>
      </w:r>
      <w:r>
        <w:rPr>
          <w:color w:val="6E6158"/>
          <w:spacing w:val="28"/>
        </w:rPr>
        <w:t> </w:t>
      </w:r>
      <w:r>
        <w:rPr>
          <w:color w:val="6E6158"/>
        </w:rPr>
        <w:t>timely,</w:t>
      </w:r>
      <w:r>
        <w:rPr>
          <w:color w:val="6E6158"/>
          <w:spacing w:val="28"/>
        </w:rPr>
        <w:t> </w:t>
      </w:r>
      <w:r>
        <w:rPr>
          <w:color w:val="6E6158"/>
        </w:rPr>
        <w:t>informed,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tailored</w:t>
      </w:r>
      <w:r>
        <w:rPr>
          <w:color w:val="6E6158"/>
          <w:spacing w:val="28"/>
        </w:rPr>
        <w:t> </w:t>
      </w:r>
      <w:r>
        <w:rPr>
          <w:color w:val="6E6158"/>
        </w:rPr>
        <w:t>to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organization</w:t>
      </w:r>
      <w:r>
        <w:rPr>
          <w:color w:val="6E6158"/>
          <w:spacing w:val="28"/>
        </w:rPr>
        <w:t> </w:t>
      </w:r>
      <w:r>
        <w:rPr>
          <w:color w:val="6E6158"/>
        </w:rPr>
        <w:t>rather</w:t>
      </w:r>
      <w:r>
        <w:rPr>
          <w:color w:val="6E6158"/>
          <w:spacing w:val="28"/>
        </w:rPr>
        <w:t> </w:t>
      </w:r>
      <w:r>
        <w:rPr>
          <w:color w:val="6E6158"/>
        </w:rPr>
        <w:t>than</w:t>
      </w:r>
      <w:r>
        <w:rPr>
          <w:color w:val="6E6158"/>
          <w:spacing w:val="28"/>
        </w:rPr>
        <w:t> </w:t>
      </w:r>
      <w:r>
        <w:rPr>
          <w:color w:val="6E6158"/>
        </w:rPr>
        <w:t>addressing</w:t>
      </w:r>
      <w:r>
        <w:rPr>
          <w:color w:val="6E6158"/>
          <w:spacing w:val="28"/>
        </w:rPr>
        <w:t> </w:t>
      </w:r>
      <w:r>
        <w:rPr>
          <w:color w:val="6E6158"/>
        </w:rPr>
        <w:t>each</w:t>
      </w:r>
      <w:r>
        <w:rPr>
          <w:color w:val="6E6158"/>
          <w:spacing w:val="28"/>
        </w:rPr>
        <w:t> </w:t>
      </w:r>
      <w:r>
        <w:rPr>
          <w:color w:val="6E6158"/>
        </w:rPr>
        <w:t>issue</w:t>
      </w:r>
      <w:r>
        <w:rPr>
          <w:color w:val="6E6158"/>
          <w:spacing w:val="28"/>
        </w:rPr>
        <w:t> </w:t>
      </w:r>
      <w:r>
        <w:rPr>
          <w:color w:val="6E6158"/>
        </w:rPr>
        <w:t>in</w:t>
      </w:r>
    </w:p>
    <w:p>
      <w:pPr>
        <w:pStyle w:val="BodyText"/>
        <w:spacing w:before="2"/>
      </w:pPr>
      <w:r>
        <w:rPr>
          <w:color w:val="6E6158"/>
          <w:spacing w:val="-2"/>
        </w:rPr>
        <w:t>isolation.</w:t>
      </w:r>
    </w:p>
    <w:p>
      <w:pPr>
        <w:pStyle w:val="Heading1"/>
        <w:spacing w:before="221"/>
      </w:pPr>
      <w:r>
        <w:rPr>
          <w:color w:val="FF8100"/>
        </w:rPr>
        <w:t>FORMATION,</w:t>
      </w:r>
      <w:r>
        <w:rPr>
          <w:color w:val="FF8100"/>
          <w:spacing w:val="15"/>
        </w:rPr>
        <w:t> </w:t>
      </w:r>
      <w:r>
        <w:rPr>
          <w:color w:val="FF8100"/>
        </w:rPr>
        <w:t>GOVERNANCE,</w:t>
      </w:r>
      <w:r>
        <w:rPr>
          <w:color w:val="FF8100"/>
          <w:spacing w:val="16"/>
        </w:rPr>
        <w:t> </w:t>
      </w:r>
      <w:r>
        <w:rPr>
          <w:color w:val="FF8100"/>
        </w:rPr>
        <w:t>AND</w:t>
      </w:r>
      <w:r>
        <w:rPr>
          <w:color w:val="FF8100"/>
          <w:spacing w:val="15"/>
        </w:rPr>
        <w:t> </w:t>
      </w:r>
      <w:r>
        <w:rPr>
          <w:color w:val="FF8100"/>
        </w:rPr>
        <w:t>ORGANIZATIONAL</w:t>
      </w:r>
      <w:r>
        <w:rPr>
          <w:color w:val="FF8100"/>
          <w:spacing w:val="16"/>
        </w:rPr>
        <w:t> </w:t>
      </w:r>
      <w:r>
        <w:rPr>
          <w:color w:val="FF8100"/>
          <w:spacing w:val="-2"/>
        </w:rPr>
        <w:t>STRUCTURE</w:t>
      </w:r>
    </w:p>
    <w:p>
      <w:pPr>
        <w:pStyle w:val="Heading1"/>
        <w:spacing w:after="0"/>
        <w:sectPr>
          <w:pgSz w:w="12240" w:h="15840"/>
          <w:pgMar w:top="500" w:bottom="280" w:left="1080" w:right="1080"/>
        </w:sectPr>
      </w:pPr>
    </w:p>
    <w:p>
      <w:pPr>
        <w:pStyle w:val="BodyText"/>
        <w:spacing w:line="297" w:lineRule="auto" w:before="83"/>
        <w:ind w:right="555"/>
      </w:pPr>
      <w:r>
        <w:rPr>
          <w:color w:val="6E6158"/>
        </w:rPr>
        <w:t>The legal structure of an educational institution influences its governance, financing, tax status,</w:t>
      </w:r>
      <w:r>
        <w:rPr>
          <w:color w:val="6E6158"/>
          <w:spacing w:val="40"/>
        </w:rPr>
        <w:t> </w:t>
      </w:r>
      <w:r>
        <w:rPr>
          <w:color w:val="6E6158"/>
        </w:rPr>
        <w:t>operations, and ability to grow. Our lawyers advise schools and education-related </w:t>
      </w:r>
      <w:r>
        <w:rPr>
          <w:color w:val="6E6158"/>
        </w:rPr>
        <w:t>organizations</w:t>
      </w:r>
      <w:r>
        <w:rPr>
          <w:color w:val="6E6158"/>
          <w:spacing w:val="40"/>
        </w:rPr>
        <w:t> </w:t>
      </w:r>
      <w:r>
        <w:rPr>
          <w:color w:val="6E6158"/>
        </w:rPr>
        <w:t>on</w:t>
      </w:r>
      <w:r>
        <w:rPr>
          <w:color w:val="6E6158"/>
          <w:spacing w:val="26"/>
        </w:rPr>
        <w:t> </w:t>
      </w:r>
      <w:r>
        <w:rPr>
          <w:color w:val="6E6158"/>
        </w:rPr>
        <w:t>nonprofit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corporate</w:t>
      </w:r>
      <w:r>
        <w:rPr>
          <w:color w:val="6E6158"/>
          <w:spacing w:val="26"/>
        </w:rPr>
        <w:t> </w:t>
      </w:r>
      <w:r>
        <w:rPr>
          <w:color w:val="6E6158"/>
        </w:rPr>
        <w:t>matters</w:t>
      </w:r>
      <w:r>
        <w:rPr>
          <w:color w:val="6E6158"/>
          <w:spacing w:val="26"/>
        </w:rPr>
        <w:t> </w:t>
      </w:r>
      <w:r>
        <w:rPr>
          <w:color w:val="6E6158"/>
        </w:rPr>
        <w:t>at</w:t>
      </w:r>
      <w:r>
        <w:rPr>
          <w:color w:val="6E6158"/>
          <w:spacing w:val="26"/>
        </w:rPr>
        <w:t> </w:t>
      </w:r>
      <w:r>
        <w:rPr>
          <w:color w:val="6E6158"/>
        </w:rPr>
        <w:t>every</w:t>
      </w:r>
      <w:r>
        <w:rPr>
          <w:color w:val="6E6158"/>
          <w:spacing w:val="26"/>
        </w:rPr>
        <w:t> </w:t>
      </w:r>
      <w:r>
        <w:rPr>
          <w:color w:val="6E6158"/>
        </w:rPr>
        <w:t>stage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development.</w:t>
      </w:r>
      <w:r>
        <w:rPr>
          <w:color w:val="6E6158"/>
          <w:spacing w:val="26"/>
        </w:rPr>
        <w:t> </w:t>
      </w:r>
      <w:r>
        <w:rPr>
          <w:color w:val="6E6158"/>
        </w:rPr>
        <w:t>We</w:t>
      </w:r>
      <w:r>
        <w:rPr>
          <w:color w:val="6E6158"/>
          <w:spacing w:val="26"/>
        </w:rPr>
        <w:t> </w:t>
      </w:r>
      <w:r>
        <w:rPr>
          <w:color w:val="6E6158"/>
        </w:rPr>
        <w:t>work</w:t>
      </w:r>
      <w:r>
        <w:rPr>
          <w:color w:val="6E6158"/>
          <w:spacing w:val="26"/>
        </w:rPr>
        <w:t> </w:t>
      </w:r>
      <w:r>
        <w:rPr>
          <w:color w:val="6E6158"/>
        </w:rPr>
        <w:t>with</w:t>
      </w:r>
      <w:r>
        <w:rPr>
          <w:color w:val="6E6158"/>
          <w:spacing w:val="26"/>
        </w:rPr>
        <w:t> </w:t>
      </w:r>
      <w:r>
        <w:rPr>
          <w:color w:val="6E6158"/>
        </w:rPr>
        <w:t>boards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</w:p>
    <w:p>
      <w:pPr>
        <w:pStyle w:val="BodyText"/>
        <w:spacing w:line="292" w:lineRule="auto"/>
        <w:ind w:right="761"/>
      </w:pPr>
      <w:r>
        <w:rPr>
          <w:color w:val="6E6158"/>
        </w:rPr>
        <w:t>leadership teams to establish governance systems that are legally sound, </w:t>
      </w:r>
      <w:r>
        <w:rPr>
          <w:color w:val="6E6158"/>
        </w:rPr>
        <w:t>operationally workable, and aligned with the institution’s educational mission.</w:t>
      </w:r>
    </w:p>
    <w:p>
      <w:pPr>
        <w:pStyle w:val="BodyText"/>
        <w:spacing w:before="193"/>
      </w:pPr>
      <w:r>
        <w:rPr>
          <w:color w:val="6E6158"/>
        </w:rPr>
        <w:t>Our</w:t>
      </w:r>
      <w:r>
        <w:rPr>
          <w:color w:val="6E6158"/>
          <w:spacing w:val="11"/>
        </w:rPr>
        <w:t> </w:t>
      </w:r>
      <w:r>
        <w:rPr>
          <w:color w:val="6E6158"/>
        </w:rPr>
        <w:t>services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include:</w:t>
      </w:r>
    </w:p>
    <w:p>
      <w:pPr>
        <w:pStyle w:val="BodyText"/>
        <w:spacing w:before="22"/>
        <w:ind w:left="0"/>
      </w:pPr>
    </w:p>
    <w:p>
      <w:pPr>
        <w:pStyle w:val="BodyText"/>
        <w:spacing w:line="420" w:lineRule="auto"/>
        <w:ind w:right="4802"/>
        <w:jc w:val="both"/>
      </w:pPr>
      <w:r>
        <w:rPr>
          <w:color w:val="6E6158"/>
        </w:rPr>
        <w:t>Formation and selection of organizational </w:t>
      </w:r>
      <w:r>
        <w:rPr>
          <w:color w:val="6E6158"/>
        </w:rPr>
        <w:t>structure Nonprofit and tax-exempt organization matters</w:t>
      </w:r>
    </w:p>
    <w:p>
      <w:pPr>
        <w:pStyle w:val="BodyText"/>
        <w:spacing w:line="422" w:lineRule="auto"/>
        <w:ind w:right="4118"/>
        <w:jc w:val="both"/>
      </w:pPr>
      <w:r>
        <w:rPr>
          <w:color w:val="6E6158"/>
        </w:rPr>
        <w:t>Articles of incorporation, bylaws, and governance </w:t>
      </w:r>
      <w:r>
        <w:rPr>
          <w:color w:val="6E6158"/>
        </w:rPr>
        <w:t>policies Board composition, authority, and fiduciary responsibilities Conflicts-of-interest policies and procedures</w:t>
      </w:r>
    </w:p>
    <w:p>
      <w:pPr>
        <w:pStyle w:val="BodyText"/>
        <w:spacing w:line="422" w:lineRule="auto"/>
        <w:ind w:right="3954"/>
      </w:pPr>
      <w:r>
        <w:rPr>
          <w:color w:val="6E6158"/>
        </w:rPr>
        <w:t>Affiliations, joint ventures, and strategic relationships Corporate reorganizations and institutional </w:t>
      </w:r>
      <w:r>
        <w:rPr>
          <w:color w:val="6E6158"/>
        </w:rPr>
        <w:t>combinations Charter school governance and operational structures Ongoing corporate compliance and recordkeeping</w:t>
      </w:r>
    </w:p>
    <w:p>
      <w:pPr>
        <w:pStyle w:val="BodyText"/>
        <w:spacing w:line="229" w:lineRule="exact"/>
      </w:pPr>
      <w:r>
        <w:rPr>
          <w:color w:val="6E6158"/>
        </w:rPr>
        <w:t>Dissolution,</w:t>
      </w:r>
      <w:r>
        <w:rPr>
          <w:color w:val="6E6158"/>
          <w:spacing w:val="18"/>
        </w:rPr>
        <w:t> </w:t>
      </w:r>
      <w:r>
        <w:rPr>
          <w:color w:val="6E6158"/>
        </w:rPr>
        <w:t>restructuring,</w:t>
      </w:r>
      <w:r>
        <w:rPr>
          <w:color w:val="6E6158"/>
          <w:spacing w:val="18"/>
        </w:rPr>
        <w:t> </w:t>
      </w:r>
      <w:r>
        <w:rPr>
          <w:color w:val="6E6158"/>
        </w:rPr>
        <w:t>and</w:t>
      </w:r>
      <w:r>
        <w:rPr>
          <w:color w:val="6E6158"/>
          <w:spacing w:val="19"/>
        </w:rPr>
        <w:t> </w:t>
      </w:r>
      <w:r>
        <w:rPr>
          <w:color w:val="6E6158"/>
        </w:rPr>
        <w:t>succession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planning</w:t>
      </w:r>
    </w:p>
    <w:p>
      <w:pPr>
        <w:pStyle w:val="BodyText"/>
        <w:spacing w:before="160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CIVIL</w:t>
      </w:r>
      <w:r>
        <w:rPr>
          <w:color w:val="FF8100"/>
          <w:spacing w:val="10"/>
        </w:rPr>
        <w:t> </w:t>
      </w:r>
      <w:r>
        <w:rPr>
          <w:color w:val="FF8100"/>
        </w:rPr>
        <w:t>RIGHTS,</w:t>
      </w:r>
      <w:r>
        <w:rPr>
          <w:color w:val="FF8100"/>
          <w:spacing w:val="10"/>
        </w:rPr>
        <w:t> </w:t>
      </w:r>
      <w:r>
        <w:rPr>
          <w:color w:val="FF8100"/>
        </w:rPr>
        <w:t>STUDENT</w:t>
      </w:r>
      <w:r>
        <w:rPr>
          <w:color w:val="FF8100"/>
          <w:spacing w:val="10"/>
        </w:rPr>
        <w:t> </w:t>
      </w:r>
      <w:r>
        <w:rPr>
          <w:color w:val="FF8100"/>
        </w:rPr>
        <w:t>ACCESS,</w:t>
      </w:r>
      <w:r>
        <w:rPr>
          <w:color w:val="FF8100"/>
          <w:spacing w:val="10"/>
        </w:rPr>
        <w:t> </w:t>
      </w:r>
      <w:r>
        <w:rPr>
          <w:color w:val="FF8100"/>
        </w:rPr>
        <w:t>AND</w:t>
      </w:r>
      <w:r>
        <w:rPr>
          <w:color w:val="FF8100"/>
          <w:spacing w:val="11"/>
        </w:rPr>
        <w:t> </w:t>
      </w:r>
      <w:r>
        <w:rPr>
          <w:color w:val="FF8100"/>
        </w:rPr>
        <w:t>INSTITUTIONAL</w:t>
      </w:r>
      <w:r>
        <w:rPr>
          <w:color w:val="FF8100"/>
          <w:spacing w:val="10"/>
        </w:rPr>
        <w:t> </w:t>
      </w:r>
      <w:r>
        <w:rPr>
          <w:color w:val="FF8100"/>
          <w:spacing w:val="-2"/>
        </w:rPr>
        <w:t>COMPLIANCE</w:t>
      </w:r>
    </w:p>
    <w:p>
      <w:pPr>
        <w:pStyle w:val="BodyText"/>
        <w:spacing w:line="295" w:lineRule="auto" w:before="147"/>
        <w:ind w:right="761"/>
      </w:pPr>
      <w:r>
        <w:rPr>
          <w:color w:val="6E6158"/>
        </w:rPr>
        <w:t>We assist institutions with developing policies and procedures that are legally compliant, understandable, and capable of being implemented consistently. Educational </w:t>
      </w:r>
      <w:r>
        <w:rPr>
          <w:color w:val="6E6158"/>
        </w:rPr>
        <w:t>institutions</w:t>
      </w:r>
      <w:r>
        <w:rPr>
          <w:color w:val="6E6158"/>
          <w:spacing w:val="40"/>
        </w:rPr>
        <w:t> </w:t>
      </w:r>
      <w:r>
        <w:rPr>
          <w:color w:val="6E6158"/>
        </w:rPr>
        <w:t>operate within a complex framework of federal and state civil rights and accessibility requirements.</w:t>
      </w:r>
      <w:r>
        <w:rPr>
          <w:color w:val="6E6158"/>
          <w:spacing w:val="40"/>
        </w:rPr>
        <w:t> </w:t>
      </w:r>
      <w:r>
        <w:rPr>
          <w:color w:val="6E6158"/>
        </w:rPr>
        <w:t>Compliance</w:t>
      </w:r>
      <w:r>
        <w:rPr>
          <w:color w:val="6E6158"/>
          <w:spacing w:val="40"/>
        </w:rPr>
        <w:t> </w:t>
      </w:r>
      <w:r>
        <w:rPr>
          <w:color w:val="6E6158"/>
        </w:rPr>
        <w:t>questions</w:t>
      </w:r>
      <w:r>
        <w:rPr>
          <w:color w:val="6E6158"/>
          <w:spacing w:val="40"/>
        </w:rPr>
        <w:t> </w:t>
      </w:r>
      <w:r>
        <w:rPr>
          <w:color w:val="6E6158"/>
        </w:rPr>
        <w:t>may</w:t>
      </w:r>
      <w:r>
        <w:rPr>
          <w:color w:val="6E6158"/>
          <w:spacing w:val="40"/>
        </w:rPr>
        <w:t> </w:t>
      </w:r>
      <w:r>
        <w:rPr>
          <w:color w:val="6E6158"/>
        </w:rPr>
        <w:t>arise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admissions,</w:t>
      </w:r>
      <w:r>
        <w:rPr>
          <w:color w:val="6E6158"/>
          <w:spacing w:val="40"/>
        </w:rPr>
        <w:t> </w:t>
      </w:r>
      <w:r>
        <w:rPr>
          <w:color w:val="6E6158"/>
        </w:rPr>
        <w:t>academics,</w:t>
      </w:r>
      <w:r>
        <w:rPr>
          <w:color w:val="6E6158"/>
          <w:spacing w:val="40"/>
        </w:rPr>
        <w:t> </w:t>
      </w:r>
      <w:r>
        <w:rPr>
          <w:color w:val="6E6158"/>
        </w:rPr>
        <w:t>athletics,</w:t>
      </w:r>
    </w:p>
    <w:p>
      <w:pPr>
        <w:pStyle w:val="BodyText"/>
        <w:spacing w:line="302" w:lineRule="auto" w:before="1"/>
        <w:ind w:right="761"/>
      </w:pPr>
      <w:r>
        <w:rPr>
          <w:color w:val="6E6158"/>
        </w:rPr>
        <w:t>employment, student discipline, disability accommodations, campus activities, and access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facilities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programs.</w:t>
      </w:r>
      <w:r>
        <w:rPr>
          <w:color w:val="6E6158"/>
          <w:spacing w:val="29"/>
        </w:rPr>
        <w:t> </w:t>
      </w:r>
      <w:r>
        <w:rPr>
          <w:color w:val="6E6158"/>
        </w:rPr>
        <w:t>When</w:t>
      </w:r>
      <w:r>
        <w:rPr>
          <w:color w:val="6E6158"/>
          <w:spacing w:val="29"/>
        </w:rPr>
        <w:t> </w:t>
      </w:r>
      <w:r>
        <w:rPr>
          <w:color w:val="6E6158"/>
        </w:rPr>
        <w:t>concerns</w:t>
      </w:r>
      <w:r>
        <w:rPr>
          <w:color w:val="6E6158"/>
          <w:spacing w:val="29"/>
        </w:rPr>
        <w:t> </w:t>
      </w:r>
      <w:r>
        <w:rPr>
          <w:color w:val="6E6158"/>
        </w:rPr>
        <w:t>arise,</w:t>
      </w:r>
      <w:r>
        <w:rPr>
          <w:color w:val="6E6158"/>
          <w:spacing w:val="29"/>
        </w:rPr>
        <w:t> </w:t>
      </w:r>
      <w:r>
        <w:rPr>
          <w:color w:val="6E6158"/>
        </w:rPr>
        <w:t>we</w:t>
      </w:r>
      <w:r>
        <w:rPr>
          <w:color w:val="6E6158"/>
          <w:spacing w:val="29"/>
        </w:rPr>
        <w:t> </w:t>
      </w:r>
      <w:r>
        <w:rPr>
          <w:color w:val="6E6158"/>
        </w:rPr>
        <w:t>guide</w:t>
      </w:r>
      <w:r>
        <w:rPr>
          <w:color w:val="6E6158"/>
          <w:spacing w:val="29"/>
        </w:rPr>
        <w:t> </w:t>
      </w:r>
      <w:r>
        <w:rPr>
          <w:color w:val="6E6158"/>
        </w:rPr>
        <w:t>clients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how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respond</w:t>
      </w:r>
      <w:r>
        <w:rPr>
          <w:color w:val="6E6158"/>
          <w:spacing w:val="29"/>
        </w:rPr>
        <w:t> </w:t>
      </w:r>
      <w:r>
        <w:rPr>
          <w:color w:val="6E6158"/>
        </w:rPr>
        <w:t>promptly,</w:t>
      </w:r>
    </w:p>
    <w:p>
      <w:pPr>
        <w:pStyle w:val="BodyText"/>
        <w:spacing w:line="292" w:lineRule="auto"/>
        <w:ind w:right="761"/>
      </w:pPr>
      <w:r>
        <w:rPr>
          <w:color w:val="6E6158"/>
        </w:rPr>
        <w:t>conduct fair and thorough investigations, document decisions, and address both </w:t>
      </w:r>
      <w:r>
        <w:rPr>
          <w:color w:val="6E6158"/>
        </w:rPr>
        <w:t>immediate</w:t>
      </w:r>
      <w:r>
        <w:rPr>
          <w:color w:val="6E6158"/>
          <w:spacing w:val="40"/>
        </w:rPr>
        <w:t> </w:t>
      </w:r>
      <w:r>
        <w:rPr>
          <w:color w:val="6E6158"/>
        </w:rPr>
        <w:t>and systemic issues.</w:t>
      </w:r>
    </w:p>
    <w:p>
      <w:pPr>
        <w:pStyle w:val="BodyText"/>
        <w:spacing w:before="187"/>
      </w:pPr>
      <w:r>
        <w:rPr>
          <w:color w:val="6E6158"/>
        </w:rPr>
        <w:t>We</w:t>
      </w:r>
      <w:r>
        <w:rPr>
          <w:color w:val="6E6158"/>
          <w:spacing w:val="6"/>
        </w:rPr>
        <w:t> </w:t>
      </w:r>
      <w:r>
        <w:rPr>
          <w:color w:val="6E6158"/>
        </w:rPr>
        <w:t>help</w:t>
      </w:r>
      <w:r>
        <w:rPr>
          <w:color w:val="6E6158"/>
          <w:spacing w:val="6"/>
        </w:rPr>
        <w:t> </w:t>
      </w:r>
      <w:r>
        <w:rPr>
          <w:color w:val="6E6158"/>
        </w:rPr>
        <w:t>clients</w:t>
      </w:r>
      <w:r>
        <w:rPr>
          <w:color w:val="6E6158"/>
          <w:spacing w:val="6"/>
        </w:rPr>
        <w:t> </w:t>
      </w:r>
      <w:r>
        <w:rPr>
          <w:color w:val="6E6158"/>
          <w:spacing w:val="-2"/>
        </w:rPr>
        <w:t>with:</w:t>
      </w:r>
    </w:p>
    <w:p>
      <w:pPr>
        <w:pStyle w:val="BodyText"/>
        <w:spacing w:before="23"/>
        <w:ind w:left="0"/>
      </w:pPr>
    </w:p>
    <w:p>
      <w:pPr>
        <w:pStyle w:val="BodyText"/>
        <w:spacing w:line="420" w:lineRule="auto"/>
        <w:ind w:right="2844"/>
      </w:pPr>
      <w:r>
        <w:rPr>
          <w:color w:val="6E6158"/>
        </w:rPr>
        <w:t>Title IX compliance, policies, grievance procedures, and </w:t>
      </w:r>
      <w:r>
        <w:rPr>
          <w:color w:val="6E6158"/>
        </w:rPr>
        <w:t>investigations Title VI discrimination and retaliation matters</w:t>
      </w:r>
    </w:p>
    <w:p>
      <w:pPr>
        <w:pStyle w:val="BodyText"/>
        <w:spacing w:line="427" w:lineRule="auto"/>
        <w:ind w:right="3411"/>
      </w:pPr>
      <w:r>
        <w:rPr>
          <w:color w:val="6E6158"/>
        </w:rPr>
        <w:t>Title VII employment discrimination and workplace </w:t>
      </w:r>
      <w:r>
        <w:rPr>
          <w:color w:val="6E6158"/>
        </w:rPr>
        <w:t>investigations The Individuals with Disabilities Education Act</w:t>
      </w:r>
    </w:p>
    <w:p>
      <w:pPr>
        <w:pStyle w:val="BodyText"/>
        <w:spacing w:line="420" w:lineRule="auto"/>
        <w:ind w:right="5977"/>
      </w:pPr>
      <w:r>
        <w:rPr>
          <w:color w:val="6E6158"/>
        </w:rPr>
        <w:t>Section 504 of the Rehabilitation </w:t>
      </w:r>
      <w:r>
        <w:rPr>
          <w:color w:val="6E6158"/>
        </w:rPr>
        <w:t>Act The Americans with Disabilities Act</w:t>
      </w:r>
    </w:p>
    <w:p>
      <w:pPr>
        <w:pStyle w:val="BodyText"/>
        <w:spacing w:line="427" w:lineRule="auto"/>
        <w:ind w:right="5428"/>
      </w:pPr>
      <w:r>
        <w:rPr>
          <w:color w:val="6E6158"/>
        </w:rPr>
        <w:t>Disability accommodations and </w:t>
      </w:r>
      <w:r>
        <w:rPr>
          <w:color w:val="6E6158"/>
        </w:rPr>
        <w:t>accessibility Student and employee complaints</w:t>
      </w:r>
    </w:p>
    <w:p>
      <w:pPr>
        <w:pStyle w:val="BodyText"/>
        <w:spacing w:line="420" w:lineRule="auto"/>
        <w:ind w:right="3954"/>
      </w:pPr>
      <w:r>
        <w:rPr>
          <w:color w:val="6E6158"/>
        </w:rPr>
        <w:t>Anti-discrimination, harassment, and retaliation policies Training for boards, administrators, faculty, and staff Responses to regulatory inquiries and agency </w:t>
      </w:r>
      <w:r>
        <w:rPr>
          <w:color w:val="6E6158"/>
        </w:rPr>
        <w:t>proceedings</w:t>
      </w:r>
    </w:p>
    <w:p>
      <w:pPr>
        <w:pStyle w:val="BodyText"/>
        <w:spacing w:after="0" w:line="420" w:lineRule="auto"/>
        <w:sectPr>
          <w:pgSz w:w="12240" w:h="15840"/>
          <w:pgMar w:top="500" w:bottom="280" w:left="1080" w:right="1080"/>
        </w:sectPr>
      </w:pPr>
    </w:p>
    <w:p>
      <w:pPr>
        <w:pStyle w:val="Heading1"/>
        <w:spacing w:before="83"/>
      </w:pPr>
      <w:r>
        <w:rPr>
          <w:color w:val="FF8100"/>
        </w:rPr>
        <w:t>INVESTIGATIONS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4"/>
        </w:rPr>
        <w:t> </w:t>
      </w:r>
      <w:r>
        <w:rPr>
          <w:color w:val="FF8100"/>
        </w:rPr>
        <w:t>SENSITIVE</w:t>
      </w:r>
      <w:r>
        <w:rPr>
          <w:color w:val="FF8100"/>
          <w:spacing w:val="14"/>
        </w:rPr>
        <w:t> </w:t>
      </w:r>
      <w:r>
        <w:rPr>
          <w:color w:val="FF8100"/>
        </w:rPr>
        <w:t>INSTITUTIONAL</w:t>
      </w:r>
      <w:r>
        <w:rPr>
          <w:color w:val="FF8100"/>
          <w:spacing w:val="14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line="295" w:lineRule="auto" w:before="147"/>
        <w:ind w:right="577"/>
      </w:pPr>
      <w:r>
        <w:rPr>
          <w:color w:val="6E6158"/>
        </w:rPr>
        <w:t>Complaints involving discrimination, harassment, retaliation, sexual misconduct, disability </w:t>
      </w:r>
      <w:r>
        <w:rPr>
          <w:color w:val="6E6158"/>
        </w:rPr>
        <w:t>access,</w:t>
      </w:r>
      <w:r>
        <w:rPr>
          <w:color w:val="6E6158"/>
          <w:spacing w:val="80"/>
        </w:rPr>
        <w:t> </w:t>
      </w:r>
      <w:r>
        <w:rPr>
          <w:color w:val="6E6158"/>
        </w:rPr>
        <w:t>or workplace conduct can present significant legal, operational, and reputational risk. They also</w:t>
      </w:r>
      <w:r>
        <w:rPr>
          <w:color w:val="6E6158"/>
          <w:spacing w:val="40"/>
        </w:rPr>
        <w:t> </w:t>
      </w:r>
      <w:r>
        <w:rPr>
          <w:color w:val="6E6158"/>
        </w:rPr>
        <w:t>require</w:t>
      </w:r>
      <w:r>
        <w:rPr>
          <w:color w:val="6E6158"/>
          <w:spacing w:val="32"/>
        </w:rPr>
        <w:t> </w:t>
      </w:r>
      <w:r>
        <w:rPr>
          <w:color w:val="6E6158"/>
        </w:rPr>
        <w:t>a</w:t>
      </w:r>
      <w:r>
        <w:rPr>
          <w:color w:val="6E6158"/>
          <w:spacing w:val="32"/>
        </w:rPr>
        <w:t> </w:t>
      </w:r>
      <w:r>
        <w:rPr>
          <w:color w:val="6E6158"/>
        </w:rPr>
        <w:t>process</w:t>
      </w:r>
      <w:r>
        <w:rPr>
          <w:color w:val="6E6158"/>
          <w:spacing w:val="32"/>
        </w:rPr>
        <w:t> </w:t>
      </w:r>
      <w:r>
        <w:rPr>
          <w:color w:val="6E6158"/>
        </w:rPr>
        <w:t>that</w:t>
      </w:r>
      <w:r>
        <w:rPr>
          <w:color w:val="6E6158"/>
          <w:spacing w:val="32"/>
        </w:rPr>
        <w:t> </w:t>
      </w:r>
      <w:r>
        <w:rPr>
          <w:color w:val="6E6158"/>
        </w:rPr>
        <w:t>is</w:t>
      </w:r>
      <w:r>
        <w:rPr>
          <w:color w:val="6E6158"/>
          <w:spacing w:val="32"/>
        </w:rPr>
        <w:t> </w:t>
      </w:r>
      <w:r>
        <w:rPr>
          <w:color w:val="6E6158"/>
        </w:rPr>
        <w:t>impartial,</w:t>
      </w:r>
      <w:r>
        <w:rPr>
          <w:color w:val="6E6158"/>
          <w:spacing w:val="32"/>
        </w:rPr>
        <w:t> </w:t>
      </w:r>
      <w:r>
        <w:rPr>
          <w:color w:val="6E6158"/>
        </w:rPr>
        <w:t>trauma-informed</w:t>
      </w:r>
      <w:r>
        <w:rPr>
          <w:color w:val="6E6158"/>
          <w:spacing w:val="32"/>
        </w:rPr>
        <w:t> </w:t>
      </w:r>
      <w:r>
        <w:rPr>
          <w:color w:val="6E6158"/>
        </w:rPr>
        <w:t>where</w:t>
      </w:r>
      <w:r>
        <w:rPr>
          <w:color w:val="6E6158"/>
          <w:spacing w:val="32"/>
        </w:rPr>
        <w:t> </w:t>
      </w:r>
      <w:r>
        <w:rPr>
          <w:color w:val="6E6158"/>
        </w:rPr>
        <w:t>appropriate,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attentive</w:t>
      </w:r>
      <w:r>
        <w:rPr>
          <w:color w:val="6E6158"/>
          <w:spacing w:val="32"/>
        </w:rPr>
        <w:t> </w:t>
      </w:r>
      <w:r>
        <w:rPr>
          <w:color w:val="6E6158"/>
        </w:rPr>
        <w:t>to</w:t>
      </w:r>
      <w:r>
        <w:rPr>
          <w:color w:val="6E6158"/>
          <w:spacing w:val="32"/>
        </w:rPr>
        <w:t> </w:t>
      </w:r>
      <w:r>
        <w:rPr>
          <w:color w:val="6E6158"/>
        </w:rPr>
        <w:t>the rights of all participants. Our approach is rigorous, discreet, and sensitive to the educational</w:t>
      </w:r>
      <w:r>
        <w:rPr>
          <w:color w:val="6E6158"/>
          <w:spacing w:val="40"/>
        </w:rPr>
        <w:t> </w:t>
      </w:r>
      <w:r>
        <w:rPr>
          <w:color w:val="6E6158"/>
        </w:rPr>
        <w:t>environment in which the matter arises.</w:t>
      </w:r>
    </w:p>
    <w:p>
      <w:pPr>
        <w:pStyle w:val="BodyText"/>
        <w:spacing w:line="295" w:lineRule="auto" w:before="195"/>
        <w:ind w:right="577"/>
      </w:pPr>
      <w:r>
        <w:rPr>
          <w:color w:val="6E6158"/>
        </w:rPr>
        <w:t>Our lawyers are experienced in conducting and advising on investigations under Titles IX, VI, and</w:t>
      </w:r>
      <w:r>
        <w:rPr>
          <w:color w:val="6E6158"/>
          <w:spacing w:val="40"/>
        </w:rPr>
        <w:t> </w:t>
      </w:r>
      <w:r>
        <w:rPr>
          <w:color w:val="6E6158"/>
        </w:rPr>
        <w:t>VII, as well as investigations involving institutional policies and codes of conduct. Depending on</w:t>
      </w:r>
      <w:r>
        <w:rPr>
          <w:color w:val="6E6158"/>
          <w:spacing w:val="80"/>
        </w:rPr>
        <w:t> </w:t>
      </w:r>
      <w:r>
        <w:rPr>
          <w:color w:val="6E6158"/>
        </w:rPr>
        <w:t>the institution’s needs, we may serve as independent investigators, advise internal investigators,</w:t>
      </w:r>
      <w:r>
        <w:rPr>
          <w:color w:val="6E6158"/>
          <w:spacing w:val="40"/>
        </w:rPr>
        <w:t> </w:t>
      </w:r>
      <w:r>
        <w:rPr>
          <w:color w:val="6E6158"/>
        </w:rPr>
        <w:t>evaluate</w:t>
      </w:r>
      <w:r>
        <w:rPr>
          <w:color w:val="6E6158"/>
          <w:spacing w:val="38"/>
        </w:rPr>
        <w:t> </w:t>
      </w:r>
      <w:r>
        <w:rPr>
          <w:color w:val="6E6158"/>
        </w:rPr>
        <w:t>an</w:t>
      </w:r>
      <w:r>
        <w:rPr>
          <w:color w:val="6E6158"/>
          <w:spacing w:val="38"/>
        </w:rPr>
        <w:t> </w:t>
      </w:r>
      <w:r>
        <w:rPr>
          <w:color w:val="6E6158"/>
        </w:rPr>
        <w:t>existing</w:t>
      </w:r>
      <w:r>
        <w:rPr>
          <w:color w:val="6E6158"/>
          <w:spacing w:val="38"/>
        </w:rPr>
        <w:t> </w:t>
      </w:r>
      <w:r>
        <w:rPr>
          <w:color w:val="6E6158"/>
        </w:rPr>
        <w:t>process,</w:t>
      </w:r>
      <w:r>
        <w:rPr>
          <w:color w:val="6E6158"/>
          <w:spacing w:val="38"/>
        </w:rPr>
        <w:t> </w:t>
      </w:r>
      <w:r>
        <w:rPr>
          <w:color w:val="6E6158"/>
        </w:rPr>
        <w:t>or</w:t>
      </w:r>
      <w:r>
        <w:rPr>
          <w:color w:val="6E6158"/>
          <w:spacing w:val="38"/>
        </w:rPr>
        <w:t> </w:t>
      </w:r>
      <w:r>
        <w:rPr>
          <w:color w:val="6E6158"/>
        </w:rPr>
        <w:t>counsel</w:t>
      </w:r>
      <w:r>
        <w:rPr>
          <w:color w:val="6E6158"/>
          <w:spacing w:val="38"/>
        </w:rPr>
        <w:t> </w:t>
      </w:r>
      <w:r>
        <w:rPr>
          <w:color w:val="6E6158"/>
        </w:rPr>
        <w:t>decision-makers</w:t>
      </w:r>
      <w:r>
        <w:rPr>
          <w:color w:val="6E6158"/>
          <w:spacing w:val="38"/>
        </w:rPr>
        <w:t> </w:t>
      </w:r>
      <w:r>
        <w:rPr>
          <w:color w:val="6E6158"/>
        </w:rPr>
        <w:t>regarding</w:t>
      </w:r>
      <w:r>
        <w:rPr>
          <w:color w:val="6E6158"/>
          <w:spacing w:val="38"/>
        </w:rPr>
        <w:t> </w:t>
      </w:r>
      <w:r>
        <w:rPr>
          <w:color w:val="6E6158"/>
        </w:rPr>
        <w:t>findings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appropriate</w:t>
      </w:r>
    </w:p>
    <w:p>
      <w:pPr>
        <w:pStyle w:val="BodyText"/>
        <w:spacing w:before="1"/>
        <w:ind w:right="8286"/>
      </w:pPr>
      <w:r>
        <w:rPr>
          <w:color w:val="6E6158"/>
        </w:rPr>
        <w:t>next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steps.</w:t>
      </w:r>
    </w:p>
    <w:p>
      <w:pPr>
        <w:pStyle w:val="BodyText"/>
        <w:spacing w:before="22"/>
        <w:ind w:left="0"/>
      </w:pPr>
    </w:p>
    <w:p>
      <w:pPr>
        <w:pStyle w:val="BodyText"/>
        <w:ind w:right="8286"/>
      </w:pPr>
      <w:r>
        <w:rPr>
          <w:color w:val="6E6158"/>
        </w:rPr>
        <w:t>We</w:t>
      </w:r>
      <w:r>
        <w:rPr>
          <w:color w:val="6E6158"/>
          <w:spacing w:val="5"/>
        </w:rPr>
        <w:t> </w:t>
      </w:r>
      <w:r>
        <w:rPr>
          <w:color w:val="6E6158"/>
        </w:rPr>
        <w:t>advise</w:t>
      </w:r>
      <w:r>
        <w:rPr>
          <w:color w:val="6E6158"/>
          <w:spacing w:val="5"/>
        </w:rPr>
        <w:t> </w:t>
      </w:r>
      <w:r>
        <w:rPr>
          <w:color w:val="6E6158"/>
          <w:spacing w:val="-5"/>
        </w:rPr>
        <w:t>on:</w:t>
      </w:r>
    </w:p>
    <w:p>
      <w:pPr>
        <w:pStyle w:val="BodyText"/>
        <w:spacing w:before="14"/>
        <w:ind w:left="0"/>
      </w:pPr>
    </w:p>
    <w:p>
      <w:pPr>
        <w:pStyle w:val="BodyText"/>
      </w:pPr>
      <w:r>
        <w:rPr>
          <w:color w:val="6E6158"/>
        </w:rPr>
        <w:t>Investigation</w:t>
      </w:r>
      <w:r>
        <w:rPr>
          <w:color w:val="6E6158"/>
          <w:spacing w:val="16"/>
        </w:rPr>
        <w:t> </w:t>
      </w:r>
      <w:r>
        <w:rPr>
          <w:color w:val="6E6158"/>
        </w:rPr>
        <w:t>planning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scoping</w:t>
      </w:r>
    </w:p>
    <w:p>
      <w:pPr>
        <w:pStyle w:val="BodyText"/>
        <w:spacing w:line="422" w:lineRule="auto" w:before="174"/>
        <w:ind w:right="5064"/>
      </w:pPr>
      <w:r>
        <w:rPr>
          <w:color w:val="6E6158"/>
        </w:rPr>
        <w:t>Interim measures and immediate risk </w:t>
      </w:r>
      <w:r>
        <w:rPr>
          <w:color w:val="6E6158"/>
        </w:rPr>
        <w:t>assessment Witness interviews and evidence review Credibility and factual analysis</w:t>
      </w:r>
    </w:p>
    <w:p>
      <w:pPr>
        <w:pStyle w:val="BodyText"/>
        <w:spacing w:line="420" w:lineRule="auto"/>
        <w:ind w:right="5977"/>
      </w:pPr>
      <w:r>
        <w:rPr>
          <w:color w:val="6E6158"/>
        </w:rPr>
        <w:t>Investigation reports and findings Procedural fairness and </w:t>
      </w:r>
      <w:r>
        <w:rPr>
          <w:color w:val="6E6158"/>
        </w:rPr>
        <w:t>consistency</w:t>
      </w:r>
    </w:p>
    <w:p>
      <w:pPr>
        <w:pStyle w:val="BodyText"/>
        <w:spacing w:line="420" w:lineRule="auto" w:before="6"/>
        <w:ind w:right="5064"/>
      </w:pPr>
      <w:r>
        <w:rPr>
          <w:color w:val="6E6158"/>
        </w:rPr>
        <w:t>Confidentiality and information </w:t>
      </w:r>
      <w:r>
        <w:rPr>
          <w:color w:val="6E6158"/>
        </w:rPr>
        <w:t>management Corrective action and policy improvement</w:t>
      </w:r>
    </w:p>
    <w:p>
      <w:pPr>
        <w:pStyle w:val="BodyText"/>
        <w:spacing w:line="420" w:lineRule="auto"/>
        <w:ind w:right="2019"/>
      </w:pPr>
      <w:r>
        <w:rPr>
          <w:color w:val="6E6158"/>
        </w:rPr>
        <w:t>Communications with students, families, employees, boards, and </w:t>
      </w:r>
      <w:r>
        <w:rPr>
          <w:color w:val="6E6158"/>
        </w:rPr>
        <w:t>regulators Training designed to reduce future risk</w:t>
      </w:r>
    </w:p>
    <w:p>
      <w:pPr>
        <w:pStyle w:val="Heading1"/>
        <w:spacing w:before="288"/>
      </w:pPr>
      <w:r>
        <w:rPr>
          <w:color w:val="FF8100"/>
        </w:rPr>
        <w:t>REAL</w:t>
      </w:r>
      <w:r>
        <w:rPr>
          <w:color w:val="FF8100"/>
          <w:spacing w:val="9"/>
        </w:rPr>
        <w:t> </w:t>
      </w:r>
      <w:r>
        <w:rPr>
          <w:color w:val="FF8100"/>
        </w:rPr>
        <w:t>ESTATE,</w:t>
      </w:r>
      <w:r>
        <w:rPr>
          <w:color w:val="FF8100"/>
          <w:spacing w:val="9"/>
        </w:rPr>
        <w:t> </w:t>
      </w:r>
      <w:r>
        <w:rPr>
          <w:color w:val="FF8100"/>
        </w:rPr>
        <w:t>FACILITIES,</w:t>
      </w:r>
      <w:r>
        <w:rPr>
          <w:color w:val="FF8100"/>
          <w:spacing w:val="9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</w:rPr>
        <w:t>CAMPUS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DEVELOPMENT</w:t>
      </w:r>
    </w:p>
    <w:p>
      <w:pPr>
        <w:pStyle w:val="BodyText"/>
        <w:spacing w:line="295" w:lineRule="auto" w:before="147"/>
        <w:ind w:right="761"/>
      </w:pPr>
      <w:r>
        <w:rPr>
          <w:color w:val="6E6158"/>
        </w:rPr>
        <w:t>Real estate decisions are often among the most consequential investments an educational</w:t>
      </w:r>
      <w:r>
        <w:rPr>
          <w:color w:val="6E6158"/>
          <w:spacing w:val="40"/>
        </w:rPr>
        <w:t> </w:t>
      </w:r>
      <w:r>
        <w:rPr>
          <w:color w:val="6E6158"/>
        </w:rPr>
        <w:t>institution makes. Schools, colleges, universities, and early childhood centers must consider </w:t>
      </w:r>
      <w:r>
        <w:rPr>
          <w:color w:val="6E6158"/>
        </w:rPr>
        <w:t>not</w:t>
      </w:r>
      <w:r>
        <w:rPr>
          <w:color w:val="6E6158"/>
          <w:spacing w:val="40"/>
        </w:rPr>
        <w:t> </w:t>
      </w:r>
      <w:r>
        <w:rPr>
          <w:color w:val="6E6158"/>
        </w:rPr>
        <w:t>only traditional transaction terms but also licensing, land use, accessibility, safety, financing,</w:t>
      </w:r>
      <w:r>
        <w:rPr>
          <w:color w:val="6E6158"/>
          <w:spacing w:val="40"/>
        </w:rPr>
        <w:t> </w:t>
      </w:r>
      <w:r>
        <w:rPr>
          <w:color w:val="6E6158"/>
        </w:rPr>
        <w:t>operational suitability, and long-term institutional objectives.</w:t>
      </w:r>
    </w:p>
    <w:p>
      <w:pPr>
        <w:pStyle w:val="BodyText"/>
        <w:spacing w:line="292" w:lineRule="auto" w:before="196"/>
        <w:ind w:right="577"/>
      </w:pPr>
      <w:r>
        <w:rPr>
          <w:color w:val="6E6158"/>
        </w:rPr>
        <w:t>We</w:t>
      </w:r>
      <w:r>
        <w:rPr>
          <w:color w:val="6E6158"/>
          <w:spacing w:val="38"/>
        </w:rPr>
        <w:t> </w:t>
      </w:r>
      <w:r>
        <w:rPr>
          <w:color w:val="6E6158"/>
        </w:rPr>
        <w:t>advise</w:t>
      </w:r>
      <w:r>
        <w:rPr>
          <w:color w:val="6E6158"/>
          <w:spacing w:val="38"/>
        </w:rPr>
        <w:t> </w:t>
      </w:r>
      <w:r>
        <w:rPr>
          <w:color w:val="6E6158"/>
        </w:rPr>
        <w:t>educational</w:t>
      </w:r>
      <w:r>
        <w:rPr>
          <w:color w:val="6E6158"/>
          <w:spacing w:val="38"/>
        </w:rPr>
        <w:t> </w:t>
      </w:r>
      <w:r>
        <w:rPr>
          <w:color w:val="6E6158"/>
        </w:rPr>
        <w:t>clients</w:t>
      </w:r>
      <w:r>
        <w:rPr>
          <w:color w:val="6E6158"/>
          <w:spacing w:val="38"/>
        </w:rPr>
        <w:t> </w:t>
      </w:r>
      <w:r>
        <w:rPr>
          <w:color w:val="6E6158"/>
        </w:rPr>
        <w:t>on</w:t>
      </w:r>
      <w:r>
        <w:rPr>
          <w:color w:val="6E6158"/>
          <w:spacing w:val="38"/>
        </w:rPr>
        <w:t> </w:t>
      </w:r>
      <w:r>
        <w:rPr>
          <w:color w:val="6E6158"/>
        </w:rPr>
        <w:t>the</w:t>
      </w:r>
      <w:r>
        <w:rPr>
          <w:color w:val="6E6158"/>
          <w:spacing w:val="38"/>
        </w:rPr>
        <w:t> </w:t>
      </w:r>
      <w:r>
        <w:rPr>
          <w:color w:val="6E6158"/>
        </w:rPr>
        <w:t>acquisition,</w:t>
      </w:r>
      <w:r>
        <w:rPr>
          <w:color w:val="6E6158"/>
          <w:spacing w:val="38"/>
        </w:rPr>
        <w:t> </w:t>
      </w:r>
      <w:r>
        <w:rPr>
          <w:color w:val="6E6158"/>
        </w:rPr>
        <w:t>development,</w:t>
      </w:r>
      <w:r>
        <w:rPr>
          <w:color w:val="6E6158"/>
          <w:spacing w:val="38"/>
        </w:rPr>
        <w:t> </w:t>
      </w:r>
      <w:r>
        <w:rPr>
          <w:color w:val="6E6158"/>
        </w:rPr>
        <w:t>financing,</w:t>
      </w:r>
      <w:r>
        <w:rPr>
          <w:color w:val="6E6158"/>
          <w:spacing w:val="38"/>
        </w:rPr>
        <w:t> </w:t>
      </w:r>
      <w:r>
        <w:rPr>
          <w:color w:val="6E6158"/>
        </w:rPr>
        <w:t>leasing,</w:t>
      </w:r>
      <w:r>
        <w:rPr>
          <w:color w:val="6E6158"/>
          <w:spacing w:val="38"/>
        </w:rPr>
        <w:t> </w:t>
      </w:r>
      <w:r>
        <w:rPr>
          <w:color w:val="6E6158"/>
        </w:rPr>
        <w:t>operation, and sale of real property. Attorneys on </w:t>
      </w:r>
      <w:hyperlink r:id="rId10">
        <w:r>
          <w:rPr>
            <w:color w:val="F5821F"/>
          </w:rPr>
          <w:t>our real estate team</w:t>
        </w:r>
      </w:hyperlink>
      <w:r>
        <w:rPr>
          <w:color w:val="F5821F"/>
        </w:rPr>
        <w:t> </w:t>
      </w:r>
      <w:r>
        <w:rPr>
          <w:color w:val="6E6158"/>
        </w:rPr>
        <w:t>work to identify issues early and help</w:t>
      </w:r>
      <w:r>
        <w:rPr>
          <w:color w:val="6E6158"/>
          <w:spacing w:val="40"/>
        </w:rPr>
        <w:t> </w:t>
      </w:r>
      <w:r>
        <w:rPr>
          <w:color w:val="6E6158"/>
        </w:rPr>
        <w:t>clients move projects forward efficiently.</w:t>
      </w:r>
    </w:p>
    <w:p>
      <w:pPr>
        <w:pStyle w:val="BodyText"/>
        <w:spacing w:before="205"/>
      </w:pPr>
      <w:r>
        <w:rPr>
          <w:color w:val="6E6158"/>
        </w:rPr>
        <w:t>We</w:t>
      </w:r>
      <w:r>
        <w:rPr>
          <w:color w:val="6E6158"/>
          <w:spacing w:val="3"/>
        </w:rPr>
        <w:t> </w:t>
      </w:r>
      <w:r>
        <w:rPr>
          <w:color w:val="6E6158"/>
        </w:rPr>
        <w:t>assist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with:</w:t>
      </w:r>
    </w:p>
    <w:p>
      <w:pPr>
        <w:pStyle w:val="BodyText"/>
        <w:spacing w:before="14"/>
        <w:ind w:left="0"/>
      </w:pPr>
    </w:p>
    <w:p>
      <w:pPr>
        <w:pStyle w:val="BodyText"/>
        <w:spacing w:line="420" w:lineRule="auto" w:before="1"/>
        <w:ind w:right="6692"/>
      </w:pPr>
      <w:r>
        <w:rPr>
          <w:color w:val="6E6158"/>
        </w:rPr>
        <w:t>Purchase and sale </w:t>
      </w:r>
      <w:r>
        <w:rPr>
          <w:color w:val="6E6158"/>
        </w:rPr>
        <w:t>transactions Leasing and ground leasing</w:t>
      </w:r>
      <w:r>
        <w:rPr>
          <w:color w:val="6E6158"/>
          <w:spacing w:val="40"/>
        </w:rPr>
        <w:t> </w:t>
      </w:r>
      <w:r>
        <w:rPr>
          <w:color w:val="6E6158"/>
        </w:rPr>
        <w:t>Due diligence</w:t>
      </w:r>
    </w:p>
    <w:p>
      <w:pPr>
        <w:pStyle w:val="BodyText"/>
        <w:spacing w:before="5"/>
      </w:pPr>
      <w:r>
        <w:rPr>
          <w:color w:val="6E6158"/>
        </w:rPr>
        <w:t>Title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survey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review</w:t>
      </w:r>
    </w:p>
    <w:p>
      <w:pPr>
        <w:pStyle w:val="BodyText"/>
        <w:spacing w:before="174"/>
      </w:pPr>
      <w:r>
        <w:rPr>
          <w:color w:val="6E6158"/>
        </w:rPr>
        <w:t>Land</w:t>
      </w:r>
      <w:r>
        <w:rPr>
          <w:color w:val="6E6158"/>
          <w:spacing w:val="10"/>
        </w:rPr>
        <w:t> </w:t>
      </w:r>
      <w:r>
        <w:rPr>
          <w:color w:val="6E6158"/>
        </w:rPr>
        <w:t>use,</w:t>
      </w:r>
      <w:r>
        <w:rPr>
          <w:color w:val="6E6158"/>
          <w:spacing w:val="10"/>
        </w:rPr>
        <w:t> </w:t>
      </w:r>
      <w:r>
        <w:rPr>
          <w:color w:val="6E6158"/>
        </w:rPr>
        <w:t>zoning,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permitting</w:t>
      </w:r>
    </w:p>
    <w:p>
      <w:pPr>
        <w:pStyle w:val="BodyText"/>
        <w:spacing w:line="420" w:lineRule="auto" w:before="174"/>
        <w:ind w:right="5428"/>
      </w:pPr>
      <w:r>
        <w:rPr>
          <w:color w:val="6E6158"/>
        </w:rPr>
        <w:t>Development and construction </w:t>
      </w:r>
      <w:r>
        <w:rPr>
          <w:color w:val="6E6158"/>
        </w:rPr>
        <w:t>matters Financing and security arrangements</w:t>
      </w:r>
    </w:p>
    <w:p>
      <w:pPr>
        <w:pStyle w:val="BodyText"/>
        <w:spacing w:after="0" w:line="420" w:lineRule="auto"/>
        <w:sectPr>
          <w:pgSz w:w="12240" w:h="15840"/>
          <w:pgMar w:top="580" w:bottom="280" w:left="1080" w:right="1080"/>
        </w:sectPr>
      </w:pPr>
    </w:p>
    <w:p>
      <w:pPr>
        <w:pStyle w:val="BodyText"/>
        <w:spacing w:line="422" w:lineRule="auto" w:before="83"/>
        <w:ind w:right="5690"/>
      </w:pPr>
      <w:r>
        <w:rPr>
          <w:color w:val="6E6158"/>
        </w:rPr>
        <w:t>Facility-sharing and joint-use </w:t>
      </w:r>
      <w:r>
        <w:rPr>
          <w:color w:val="6E6158"/>
        </w:rPr>
        <w:t>agreements Easements and access rights Environmental considerations</w:t>
      </w:r>
    </w:p>
    <w:p>
      <w:pPr>
        <w:pStyle w:val="BodyText"/>
        <w:spacing w:line="232" w:lineRule="exact"/>
      </w:pPr>
      <w:r>
        <w:rPr>
          <w:color w:val="6E6158"/>
        </w:rPr>
        <w:t>ADA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accessibility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issues</w:t>
      </w:r>
    </w:p>
    <w:p>
      <w:pPr>
        <w:pStyle w:val="BodyText"/>
        <w:spacing w:before="174"/>
      </w:pPr>
      <w:r>
        <w:rPr>
          <w:color w:val="6E6158"/>
        </w:rPr>
        <w:t>Disposition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surplus</w:t>
      </w:r>
      <w:r>
        <w:rPr>
          <w:color w:val="6E6158"/>
          <w:spacing w:val="14"/>
        </w:rPr>
        <w:t> </w:t>
      </w:r>
      <w:r>
        <w:rPr>
          <w:color w:val="6E6158"/>
        </w:rPr>
        <w:t>or</w:t>
      </w:r>
      <w:r>
        <w:rPr>
          <w:color w:val="6E6158"/>
          <w:spacing w:val="14"/>
        </w:rPr>
        <w:t> </w:t>
      </w:r>
      <w:r>
        <w:rPr>
          <w:color w:val="6E6158"/>
        </w:rPr>
        <w:t>former</w:t>
      </w:r>
      <w:r>
        <w:rPr>
          <w:color w:val="6E6158"/>
          <w:spacing w:val="14"/>
        </w:rPr>
        <w:t> </w:t>
      </w:r>
      <w:r>
        <w:rPr>
          <w:color w:val="6E6158"/>
        </w:rPr>
        <w:t>educational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property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EMPLOYMENT</w:t>
      </w:r>
      <w:r>
        <w:rPr>
          <w:color w:val="FF8100"/>
          <w:spacing w:val="12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WORKFORCE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147"/>
      </w:pPr>
      <w:r>
        <w:rPr>
          <w:color w:val="6E6158"/>
        </w:rPr>
        <w:t>Educational</w:t>
      </w:r>
      <w:r>
        <w:rPr>
          <w:color w:val="6E6158"/>
          <w:spacing w:val="16"/>
        </w:rPr>
        <w:t> </w:t>
      </w:r>
      <w:r>
        <w:rPr>
          <w:color w:val="6E6158"/>
        </w:rPr>
        <w:t>institutions</w:t>
      </w:r>
      <w:r>
        <w:rPr>
          <w:color w:val="6E6158"/>
          <w:spacing w:val="17"/>
        </w:rPr>
        <w:t> </w:t>
      </w:r>
      <w:r>
        <w:rPr>
          <w:color w:val="6E6158"/>
        </w:rPr>
        <w:t>are</w:t>
      </w:r>
      <w:r>
        <w:rPr>
          <w:color w:val="6E6158"/>
          <w:spacing w:val="17"/>
        </w:rPr>
        <w:t> </w:t>
      </w:r>
      <w:r>
        <w:rPr>
          <w:color w:val="6E6158"/>
        </w:rPr>
        <w:t>significant</w:t>
      </w:r>
      <w:r>
        <w:rPr>
          <w:color w:val="6E6158"/>
          <w:spacing w:val="17"/>
        </w:rPr>
        <w:t> </w:t>
      </w:r>
      <w:r>
        <w:rPr>
          <w:color w:val="6E6158"/>
        </w:rPr>
        <w:t>employers</w:t>
      </w:r>
      <w:r>
        <w:rPr>
          <w:color w:val="6E6158"/>
          <w:spacing w:val="16"/>
        </w:rPr>
        <w:t> </w:t>
      </w:r>
      <w:r>
        <w:rPr>
          <w:color w:val="6E6158"/>
        </w:rPr>
        <w:t>with</w:t>
      </w:r>
      <w:r>
        <w:rPr>
          <w:color w:val="6E6158"/>
          <w:spacing w:val="17"/>
        </w:rPr>
        <w:t> </w:t>
      </w:r>
      <w:r>
        <w:rPr>
          <w:color w:val="6E6158"/>
        </w:rPr>
        <w:t>distinctive</w:t>
      </w:r>
      <w:r>
        <w:rPr>
          <w:color w:val="6E6158"/>
          <w:spacing w:val="17"/>
        </w:rPr>
        <w:t> </w:t>
      </w:r>
      <w:r>
        <w:rPr>
          <w:color w:val="6E6158"/>
        </w:rPr>
        <w:t>workplace</w:t>
      </w:r>
      <w:r>
        <w:rPr>
          <w:color w:val="6E6158"/>
          <w:spacing w:val="17"/>
        </w:rPr>
        <w:t> </w:t>
      </w:r>
      <w:r>
        <w:rPr>
          <w:color w:val="6E6158"/>
        </w:rPr>
        <w:t>cultures</w:t>
      </w:r>
      <w:r>
        <w:rPr>
          <w:color w:val="6E6158"/>
          <w:spacing w:val="17"/>
        </w:rPr>
        <w:t> </w:t>
      </w:r>
      <w:r>
        <w:rPr>
          <w:color w:val="6E6158"/>
          <w:spacing w:val="-5"/>
        </w:rPr>
        <w:t>and</w:t>
      </w:r>
    </w:p>
    <w:p>
      <w:pPr>
        <w:pStyle w:val="BodyText"/>
        <w:spacing w:line="292" w:lineRule="auto" w:before="60"/>
        <w:ind w:right="761"/>
      </w:pPr>
      <w:r>
        <w:rPr>
          <w:color w:val="6E6158"/>
        </w:rPr>
        <w:t>responsibilities. Their employment decisions may involve faculty, administrators, classroom staff,</w:t>
      </w:r>
      <w:r>
        <w:rPr>
          <w:color w:val="6E6158"/>
          <w:spacing w:val="40"/>
        </w:rPr>
        <w:t> </w:t>
      </w:r>
      <w:r>
        <w:rPr>
          <w:color w:val="6E6158"/>
        </w:rPr>
        <w:t>coaches, counselors, health professionals, volunteers, and other personnel working directly </w:t>
      </w:r>
      <w:r>
        <w:rPr>
          <w:color w:val="6E6158"/>
        </w:rPr>
        <w:t>with</w:t>
      </w:r>
      <w:r>
        <w:rPr>
          <w:color w:val="6E6158"/>
          <w:spacing w:val="40"/>
        </w:rPr>
        <w:t> </w:t>
      </w:r>
      <w:r>
        <w:rPr>
          <w:color w:val="6E6158"/>
        </w:rPr>
        <w:t>students. Our goal is to help clients resolve workplace concerns fairly and effectively while</w:t>
      </w:r>
      <w:r>
        <w:rPr>
          <w:color w:val="6E6158"/>
          <w:spacing w:val="40"/>
        </w:rPr>
        <w:t> </w:t>
      </w:r>
      <w:r>
        <w:rPr>
          <w:color w:val="6E6158"/>
        </w:rPr>
        <w:t>protecting</w:t>
      </w:r>
      <w:r>
        <w:rPr>
          <w:color w:val="6E6158"/>
          <w:spacing w:val="40"/>
        </w:rPr>
        <w:t> </w:t>
      </w:r>
      <w:r>
        <w:rPr>
          <w:color w:val="6E6158"/>
        </w:rPr>
        <w:t>institutional</w:t>
      </w:r>
      <w:r>
        <w:rPr>
          <w:color w:val="6E6158"/>
          <w:spacing w:val="40"/>
        </w:rPr>
        <w:t> </w:t>
      </w:r>
      <w:r>
        <w:rPr>
          <w:color w:val="6E6158"/>
        </w:rPr>
        <w:t>continuity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minimizing</w:t>
      </w:r>
      <w:r>
        <w:rPr>
          <w:color w:val="6E6158"/>
          <w:spacing w:val="40"/>
        </w:rPr>
        <w:t> </w:t>
      </w:r>
      <w:r>
        <w:rPr>
          <w:color w:val="6E6158"/>
        </w:rPr>
        <w:t>disruption</w:t>
      </w:r>
      <w:r>
        <w:rPr>
          <w:color w:val="6E6158"/>
          <w:spacing w:val="40"/>
        </w:rPr>
        <w:t>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educational</w:t>
      </w:r>
      <w:r>
        <w:rPr>
          <w:color w:val="6E6158"/>
          <w:spacing w:val="40"/>
        </w:rPr>
        <w:t> </w:t>
      </w:r>
      <w:r>
        <w:rPr>
          <w:color w:val="6E6158"/>
        </w:rPr>
        <w:t>community.</w:t>
      </w:r>
    </w:p>
    <w:p>
      <w:pPr>
        <w:pStyle w:val="BodyText"/>
        <w:spacing w:before="206"/>
      </w:pPr>
      <w:r>
        <w:rPr>
          <w:color w:val="6E6158"/>
        </w:rPr>
        <w:t>Attorneys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our</w:t>
      </w:r>
      <w:r>
        <w:rPr>
          <w:color w:val="6E6158"/>
          <w:spacing w:val="12"/>
        </w:rPr>
        <w:t> </w:t>
      </w:r>
      <w:hyperlink r:id="rId9">
        <w:r>
          <w:rPr>
            <w:color w:val="F5821F"/>
          </w:rPr>
          <w:t>labor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&amp;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employment</w:t>
        </w:r>
      </w:hyperlink>
      <w:r>
        <w:rPr>
          <w:color w:val="F5821F"/>
          <w:spacing w:val="12"/>
        </w:rPr>
        <w:t> </w:t>
      </w:r>
      <w:r>
        <w:rPr>
          <w:color w:val="6E6158"/>
        </w:rPr>
        <w:t>group</w:t>
      </w:r>
      <w:r>
        <w:rPr>
          <w:color w:val="6E6158"/>
          <w:spacing w:val="13"/>
        </w:rPr>
        <w:t> </w:t>
      </w:r>
      <w:r>
        <w:rPr>
          <w:color w:val="6E6158"/>
        </w:rPr>
        <w:t>support</w:t>
      </w:r>
      <w:r>
        <w:rPr>
          <w:color w:val="6E6158"/>
          <w:spacing w:val="12"/>
        </w:rPr>
        <w:t> </w:t>
      </w:r>
      <w:r>
        <w:rPr>
          <w:color w:val="6E6158"/>
        </w:rPr>
        <w:t>clients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with:</w:t>
      </w:r>
    </w:p>
    <w:p>
      <w:pPr>
        <w:pStyle w:val="BodyText"/>
        <w:spacing w:before="14"/>
        <w:ind w:left="0"/>
      </w:pPr>
    </w:p>
    <w:p>
      <w:pPr>
        <w:pStyle w:val="BodyText"/>
        <w:spacing w:line="422" w:lineRule="auto"/>
        <w:ind w:right="5045"/>
      </w:pPr>
      <w:r>
        <w:rPr>
          <w:color w:val="6E6158"/>
        </w:rPr>
        <w:t>Employment agreements and personnel </w:t>
      </w:r>
      <w:r>
        <w:rPr>
          <w:color w:val="6E6158"/>
        </w:rPr>
        <w:t>policies Hiring, evaluation, discipline, and separation Wage-and-hour compliance</w:t>
      </w:r>
    </w:p>
    <w:p>
      <w:pPr>
        <w:pStyle w:val="BodyText"/>
        <w:spacing w:line="420" w:lineRule="auto"/>
        <w:ind w:right="3954"/>
      </w:pPr>
      <w:r>
        <w:rPr>
          <w:color w:val="6E6158"/>
        </w:rPr>
        <w:t>Leaves of absence and disability </w:t>
      </w:r>
      <w:r>
        <w:rPr>
          <w:color w:val="6E6158"/>
        </w:rPr>
        <w:t>accommodations Discrimination, harassment, and retaliation</w:t>
      </w:r>
    </w:p>
    <w:p>
      <w:pPr>
        <w:pStyle w:val="BodyText"/>
        <w:spacing w:line="427" w:lineRule="auto"/>
        <w:ind w:right="6966"/>
      </w:pPr>
      <w:r>
        <w:rPr>
          <w:color w:val="6E6158"/>
        </w:rPr>
        <w:t>Title</w:t>
      </w:r>
      <w:r>
        <w:rPr>
          <w:color w:val="6E6158"/>
          <w:spacing w:val="34"/>
        </w:rPr>
        <w:t> </w:t>
      </w:r>
      <w:r>
        <w:rPr>
          <w:color w:val="6E6158"/>
        </w:rPr>
        <w:t>VII</w:t>
      </w:r>
      <w:r>
        <w:rPr>
          <w:color w:val="6E6158"/>
          <w:spacing w:val="34"/>
        </w:rPr>
        <w:t> </w:t>
      </w:r>
      <w:r>
        <w:rPr>
          <w:color w:val="6E6158"/>
        </w:rPr>
        <w:t>investigations</w:t>
      </w:r>
      <w:r>
        <w:rPr>
          <w:color w:val="6E6158"/>
          <w:spacing w:val="80"/>
        </w:rPr>
        <w:t> </w:t>
      </w:r>
      <w:r>
        <w:rPr>
          <w:color w:val="6E6158"/>
        </w:rPr>
        <w:t>Faculty and staff handbooks</w:t>
      </w:r>
    </w:p>
    <w:p>
      <w:pPr>
        <w:pStyle w:val="BodyText"/>
        <w:spacing w:line="226" w:lineRule="exact"/>
      </w:pPr>
      <w:r>
        <w:rPr>
          <w:color w:val="6E6158"/>
        </w:rPr>
        <w:t>Independent</w:t>
      </w:r>
      <w:r>
        <w:rPr>
          <w:color w:val="6E6158"/>
          <w:spacing w:val="18"/>
        </w:rPr>
        <w:t> </w:t>
      </w:r>
      <w:r>
        <w:rPr>
          <w:color w:val="6E6158"/>
        </w:rPr>
        <w:t>contractor</w:t>
      </w:r>
      <w:r>
        <w:rPr>
          <w:color w:val="6E6158"/>
          <w:spacing w:val="18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volunteer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classifications</w:t>
      </w:r>
    </w:p>
    <w:p>
      <w:pPr>
        <w:pStyle w:val="BodyText"/>
        <w:spacing w:line="420" w:lineRule="auto" w:before="171"/>
        <w:ind w:right="2844"/>
      </w:pPr>
      <w:r>
        <w:rPr>
          <w:color w:val="6E6158"/>
        </w:rPr>
        <w:t>Restrictive covenants and protection of confidential </w:t>
      </w:r>
      <w:r>
        <w:rPr>
          <w:color w:val="6E6158"/>
        </w:rPr>
        <w:t>information Workplace training</w:t>
      </w:r>
    </w:p>
    <w:p>
      <w:pPr>
        <w:pStyle w:val="BodyText"/>
        <w:spacing w:before="7"/>
      </w:pPr>
      <w:r>
        <w:rPr>
          <w:color w:val="6E6158"/>
        </w:rPr>
        <w:t>Employment</w:t>
      </w:r>
      <w:r>
        <w:rPr>
          <w:color w:val="6E6158"/>
          <w:spacing w:val="16"/>
        </w:rPr>
        <w:t> </w:t>
      </w:r>
      <w:r>
        <w:rPr>
          <w:color w:val="6E6158"/>
        </w:rPr>
        <w:t>litigation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agency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proceedings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SPECIAL</w:t>
      </w:r>
      <w:r>
        <w:rPr>
          <w:color w:val="FF8100"/>
          <w:spacing w:val="12"/>
        </w:rPr>
        <w:t> </w:t>
      </w:r>
      <w:r>
        <w:rPr>
          <w:color w:val="FF8100"/>
        </w:rPr>
        <w:t>EDUCATION</w:t>
      </w:r>
      <w:r>
        <w:rPr>
          <w:color w:val="FF8100"/>
          <w:spacing w:val="12"/>
        </w:rPr>
        <w:t> </w:t>
      </w:r>
      <w:r>
        <w:rPr>
          <w:color w:val="FF8100"/>
          <w:spacing w:val="-2"/>
        </w:rPr>
        <w:t>SUPPORT</w:t>
      </w:r>
    </w:p>
    <w:p>
      <w:pPr>
        <w:pStyle w:val="BodyText"/>
        <w:spacing w:line="295" w:lineRule="auto" w:before="146"/>
        <w:ind w:right="577"/>
      </w:pPr>
      <w:r>
        <w:rPr>
          <w:color w:val="6E6158"/>
        </w:rPr>
        <w:t>Fennemore assists K-12 schools in navigating the complex legal requirements governing special</w:t>
      </w:r>
      <w:r>
        <w:rPr>
          <w:color w:val="6E6158"/>
          <w:spacing w:val="40"/>
        </w:rPr>
        <w:t> </w:t>
      </w:r>
      <w:r>
        <w:rPr>
          <w:color w:val="6E6158"/>
        </w:rPr>
        <w:t>education, including compliance with the Individuals with Disabilities Education Act (IDEA) and</w:t>
      </w:r>
      <w:r>
        <w:rPr>
          <w:color w:val="6E6158"/>
          <w:spacing w:val="40"/>
        </w:rPr>
        <w:t> </w:t>
      </w:r>
      <w:r>
        <w:rPr>
          <w:color w:val="6E6158"/>
        </w:rPr>
        <w:t>Section 504 of the Rehabilitation Act. We advise schools on student accommodations, individualized education programs, evaluations, discipline, and related procedural </w:t>
      </w:r>
      <w:r>
        <w:rPr>
          <w:color w:val="6E6158"/>
        </w:rPr>
        <w:t>requirements,</w:t>
      </w:r>
      <w:r>
        <w:rPr>
          <w:color w:val="6E6158"/>
          <w:spacing w:val="40"/>
        </w:rPr>
        <w:t> </w:t>
      </w:r>
      <w:r>
        <w:rPr>
          <w:color w:val="6E6158"/>
        </w:rPr>
        <w:t>while</w:t>
      </w:r>
      <w:r>
        <w:rPr>
          <w:color w:val="6E6158"/>
          <w:spacing w:val="40"/>
        </w:rPr>
        <w:t> </w:t>
      </w:r>
      <w:r>
        <w:rPr>
          <w:color w:val="6E6158"/>
        </w:rPr>
        <w:t>also</w:t>
      </w:r>
      <w:r>
        <w:rPr>
          <w:color w:val="6E6158"/>
          <w:spacing w:val="40"/>
        </w:rPr>
        <w:t> </w:t>
      </w:r>
      <w:r>
        <w:rPr>
          <w:color w:val="6E6158"/>
        </w:rPr>
        <w:t>helping</w:t>
      </w:r>
      <w:r>
        <w:rPr>
          <w:color w:val="6E6158"/>
          <w:spacing w:val="40"/>
        </w:rPr>
        <w:t> </w:t>
      </w:r>
      <w:r>
        <w:rPr>
          <w:color w:val="6E6158"/>
        </w:rPr>
        <w:t>administrators</w:t>
      </w:r>
      <w:r>
        <w:rPr>
          <w:color w:val="6E6158"/>
          <w:spacing w:val="40"/>
        </w:rPr>
        <w:t> </w:t>
      </w:r>
      <w:r>
        <w:rPr>
          <w:color w:val="6E6158"/>
        </w:rPr>
        <w:t>respond</w:t>
      </w:r>
      <w:r>
        <w:rPr>
          <w:color w:val="6E6158"/>
          <w:spacing w:val="40"/>
        </w:rPr>
        <w:t>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special</w:t>
      </w:r>
      <w:r>
        <w:rPr>
          <w:color w:val="6E6158"/>
          <w:spacing w:val="40"/>
        </w:rPr>
        <w:t> </w:t>
      </w:r>
      <w:r>
        <w:rPr>
          <w:color w:val="6E6158"/>
        </w:rPr>
        <w:t>education</w:t>
      </w:r>
      <w:r>
        <w:rPr>
          <w:color w:val="6E6158"/>
          <w:spacing w:val="40"/>
        </w:rPr>
        <w:t> </w:t>
      </w:r>
      <w:r>
        <w:rPr>
          <w:color w:val="6E6158"/>
        </w:rPr>
        <w:t>concerns,</w:t>
      </w:r>
      <w:r>
        <w:rPr>
          <w:color w:val="6E6158"/>
          <w:spacing w:val="40"/>
        </w:rPr>
        <w:t> </w:t>
      </w:r>
      <w:r>
        <w:rPr>
          <w:color w:val="6E6158"/>
        </w:rPr>
        <w:t>administrative</w:t>
      </w:r>
    </w:p>
    <w:p>
      <w:pPr>
        <w:pStyle w:val="BodyText"/>
        <w:spacing w:line="302" w:lineRule="auto"/>
        <w:ind w:right="761"/>
      </w:pPr>
      <w:r>
        <w:rPr>
          <w:color w:val="6E6158"/>
        </w:rPr>
        <w:t>complaints, due process matters, and other disputes. Our goal is to help schools address these</w:t>
      </w:r>
      <w:r>
        <w:rPr>
          <w:color w:val="6E6158"/>
          <w:spacing w:val="40"/>
        </w:rPr>
        <w:t> </w:t>
      </w:r>
      <w:r>
        <w:rPr>
          <w:color w:val="6E6158"/>
        </w:rPr>
        <w:t>issues</w:t>
      </w:r>
      <w:r>
        <w:rPr>
          <w:color w:val="6E6158"/>
          <w:spacing w:val="40"/>
        </w:rPr>
        <w:t> </w:t>
      </w:r>
      <w:r>
        <w:rPr>
          <w:color w:val="6E6158"/>
        </w:rPr>
        <w:t>thoughtfully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proactively</w:t>
      </w:r>
      <w:r>
        <w:rPr>
          <w:color w:val="6E6158"/>
          <w:spacing w:val="40"/>
        </w:rPr>
        <w:t> </w:t>
      </w:r>
      <w:r>
        <w:rPr>
          <w:color w:val="6E6158"/>
        </w:rPr>
        <w:t>while</w:t>
      </w:r>
      <w:r>
        <w:rPr>
          <w:color w:val="6E6158"/>
          <w:spacing w:val="40"/>
        </w:rPr>
        <w:t> </w:t>
      </w:r>
      <w:r>
        <w:rPr>
          <w:color w:val="6E6158"/>
        </w:rPr>
        <w:t>supporting</w:t>
      </w:r>
      <w:r>
        <w:rPr>
          <w:color w:val="6E6158"/>
          <w:spacing w:val="40"/>
        </w:rPr>
        <w:t> </w:t>
      </w:r>
      <w:r>
        <w:rPr>
          <w:color w:val="6E6158"/>
        </w:rPr>
        <w:t>compliance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effective</w:t>
      </w:r>
      <w:r>
        <w:rPr>
          <w:color w:val="6E6158"/>
          <w:spacing w:val="40"/>
        </w:rPr>
        <w:t> </w:t>
      </w:r>
      <w:r>
        <w:rPr>
          <w:color w:val="6E6158"/>
        </w:rPr>
        <w:t>educational</w:t>
      </w:r>
    </w:p>
    <w:p>
      <w:pPr>
        <w:pStyle w:val="BodyText"/>
        <w:spacing w:line="224" w:lineRule="exact"/>
      </w:pPr>
      <w:r>
        <w:rPr>
          <w:color w:val="6E6158"/>
        </w:rPr>
        <w:t>decision-</w:t>
      </w:r>
      <w:r>
        <w:rPr>
          <w:color w:val="6E6158"/>
          <w:spacing w:val="-2"/>
        </w:rPr>
        <w:t>making.</w:t>
      </w:r>
    </w:p>
    <w:p>
      <w:pPr>
        <w:pStyle w:val="Heading1"/>
        <w:spacing w:before="213"/>
      </w:pPr>
      <w:r>
        <w:rPr>
          <w:color w:val="FF8100"/>
        </w:rPr>
        <w:t>PRACTICAL</w:t>
      </w:r>
      <w:r>
        <w:rPr>
          <w:color w:val="FF8100"/>
          <w:spacing w:val="12"/>
        </w:rPr>
        <w:t> </w:t>
      </w:r>
      <w:r>
        <w:rPr>
          <w:color w:val="FF8100"/>
        </w:rPr>
        <w:t>COUNSEL</w:t>
      </w:r>
      <w:r>
        <w:rPr>
          <w:color w:val="FF8100"/>
          <w:spacing w:val="12"/>
        </w:rPr>
        <w:t> </w:t>
      </w:r>
      <w:r>
        <w:rPr>
          <w:color w:val="FF8100"/>
        </w:rPr>
        <w:t>GROUNDED</w:t>
      </w:r>
      <w:r>
        <w:rPr>
          <w:color w:val="FF8100"/>
          <w:spacing w:val="12"/>
        </w:rPr>
        <w:t> </w:t>
      </w:r>
      <w:r>
        <w:rPr>
          <w:color w:val="FF8100"/>
        </w:rPr>
        <w:t>IN</w:t>
      </w:r>
      <w:r>
        <w:rPr>
          <w:color w:val="FF8100"/>
          <w:spacing w:val="12"/>
        </w:rPr>
        <w:t> </w:t>
      </w:r>
      <w:r>
        <w:rPr>
          <w:color w:val="FF8100"/>
        </w:rPr>
        <w:t>EDUCATIONAL</w:t>
      </w:r>
      <w:r>
        <w:rPr>
          <w:color w:val="FF8100"/>
          <w:spacing w:val="12"/>
        </w:rPr>
        <w:t> </w:t>
      </w:r>
      <w:r>
        <w:rPr>
          <w:color w:val="FF8100"/>
          <w:spacing w:val="-2"/>
        </w:rPr>
        <w:t>MISSION</w:t>
      </w:r>
    </w:p>
    <w:p>
      <w:pPr>
        <w:pStyle w:val="BodyText"/>
        <w:spacing w:line="297" w:lineRule="auto" w:before="147"/>
        <w:ind w:right="577"/>
      </w:pPr>
      <w:r>
        <w:rPr>
          <w:color w:val="6E6158"/>
        </w:rPr>
        <w:t>We</w:t>
      </w:r>
      <w:r>
        <w:rPr>
          <w:color w:val="6E6158"/>
          <w:spacing w:val="32"/>
        </w:rPr>
        <w:t> </w:t>
      </w:r>
      <w:r>
        <w:rPr>
          <w:color w:val="6E6158"/>
        </w:rPr>
        <w:t>recognize</w:t>
      </w:r>
      <w:r>
        <w:rPr>
          <w:color w:val="6E6158"/>
          <w:spacing w:val="32"/>
        </w:rPr>
        <w:t> </w:t>
      </w:r>
      <w:r>
        <w:rPr>
          <w:color w:val="6E6158"/>
        </w:rPr>
        <w:t>that</w:t>
      </w:r>
      <w:r>
        <w:rPr>
          <w:color w:val="6E6158"/>
          <w:spacing w:val="32"/>
        </w:rPr>
        <w:t> </w:t>
      </w:r>
      <w:r>
        <w:rPr>
          <w:color w:val="6E6158"/>
        </w:rPr>
        <w:t>educational</w:t>
      </w:r>
      <w:r>
        <w:rPr>
          <w:color w:val="6E6158"/>
          <w:spacing w:val="32"/>
        </w:rPr>
        <w:t> </w:t>
      </w:r>
      <w:r>
        <w:rPr>
          <w:color w:val="6E6158"/>
        </w:rPr>
        <w:t>institutions</w:t>
      </w:r>
      <w:r>
        <w:rPr>
          <w:color w:val="6E6158"/>
          <w:spacing w:val="32"/>
        </w:rPr>
        <w:t> </w:t>
      </w:r>
      <w:r>
        <w:rPr>
          <w:color w:val="6E6158"/>
        </w:rPr>
        <w:t>measure</w:t>
      </w:r>
      <w:r>
        <w:rPr>
          <w:color w:val="6E6158"/>
          <w:spacing w:val="32"/>
        </w:rPr>
        <w:t> </w:t>
      </w:r>
      <w:r>
        <w:rPr>
          <w:color w:val="6E6158"/>
        </w:rPr>
        <w:t>success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more</w:t>
      </w:r>
      <w:r>
        <w:rPr>
          <w:color w:val="6E6158"/>
          <w:spacing w:val="32"/>
        </w:rPr>
        <w:t> </w:t>
      </w:r>
      <w:r>
        <w:rPr>
          <w:color w:val="6E6158"/>
        </w:rPr>
        <w:t>than</w:t>
      </w:r>
      <w:r>
        <w:rPr>
          <w:color w:val="6E6158"/>
          <w:spacing w:val="32"/>
        </w:rPr>
        <w:t> </w:t>
      </w:r>
      <w:r>
        <w:rPr>
          <w:color w:val="6E6158"/>
        </w:rPr>
        <w:t>financial</w:t>
      </w:r>
      <w:r>
        <w:rPr>
          <w:color w:val="6E6158"/>
          <w:spacing w:val="32"/>
        </w:rPr>
        <w:t> </w:t>
      </w:r>
      <w:r>
        <w:rPr>
          <w:color w:val="6E6158"/>
        </w:rPr>
        <w:t>terms.</w:t>
      </w:r>
      <w:r>
        <w:rPr>
          <w:color w:val="6E6158"/>
          <w:spacing w:val="32"/>
        </w:rPr>
        <w:t> </w:t>
      </w:r>
      <w:r>
        <w:rPr>
          <w:color w:val="6E6158"/>
        </w:rPr>
        <w:t>They are accountable to students and families, employees and faculty, governing boards, regulators,</w:t>
      </w:r>
      <w:r>
        <w:rPr>
          <w:color w:val="6E6158"/>
          <w:spacing w:val="40"/>
        </w:rPr>
        <w:t> </w:t>
      </w:r>
      <w:r>
        <w:rPr>
          <w:color w:val="6E6158"/>
        </w:rPr>
        <w:t>donors, and the communities they serve.</w:t>
      </w:r>
    </w:p>
    <w:p>
      <w:pPr>
        <w:pStyle w:val="BodyText"/>
        <w:spacing w:line="292" w:lineRule="auto" w:before="191"/>
        <w:ind w:right="761"/>
      </w:pPr>
      <w:r>
        <w:rPr>
          <w:color w:val="6E6158"/>
        </w:rPr>
        <w:t>Our lawyers provide sophisticated legal counsel with that responsibility in mind. We help clients</w:t>
      </w:r>
      <w:r>
        <w:rPr>
          <w:color w:val="6E6158"/>
          <w:spacing w:val="40"/>
        </w:rPr>
        <w:t> </w:t>
      </w:r>
      <w:r>
        <w:rPr>
          <w:color w:val="6E6158"/>
        </w:rPr>
        <w:t>manage</w:t>
      </w:r>
      <w:r>
        <w:rPr>
          <w:color w:val="6E6158"/>
          <w:spacing w:val="38"/>
        </w:rPr>
        <w:t> </w:t>
      </w:r>
      <w:r>
        <w:rPr>
          <w:color w:val="6E6158"/>
        </w:rPr>
        <w:t>risk,</w:t>
      </w:r>
      <w:r>
        <w:rPr>
          <w:color w:val="6E6158"/>
          <w:spacing w:val="38"/>
        </w:rPr>
        <w:t> </w:t>
      </w:r>
      <w:r>
        <w:rPr>
          <w:color w:val="6E6158"/>
        </w:rPr>
        <w:t>strengthen</w:t>
      </w:r>
      <w:r>
        <w:rPr>
          <w:color w:val="6E6158"/>
          <w:spacing w:val="38"/>
        </w:rPr>
        <w:t> </w:t>
      </w:r>
      <w:r>
        <w:rPr>
          <w:color w:val="6E6158"/>
        </w:rPr>
        <w:t>their</w:t>
      </w:r>
      <w:r>
        <w:rPr>
          <w:color w:val="6E6158"/>
          <w:spacing w:val="38"/>
        </w:rPr>
        <w:t> </w:t>
      </w:r>
      <w:r>
        <w:rPr>
          <w:color w:val="6E6158"/>
        </w:rPr>
        <w:t>institutions,</w:t>
      </w:r>
      <w:r>
        <w:rPr>
          <w:color w:val="6E6158"/>
          <w:spacing w:val="38"/>
        </w:rPr>
        <w:t> </w:t>
      </w:r>
      <w:r>
        <w:rPr>
          <w:color w:val="6E6158"/>
        </w:rPr>
        <w:t>protect</w:t>
      </w:r>
      <w:r>
        <w:rPr>
          <w:color w:val="6E6158"/>
          <w:spacing w:val="38"/>
        </w:rPr>
        <w:t> </w:t>
      </w:r>
      <w:r>
        <w:rPr>
          <w:color w:val="6E6158"/>
        </w:rPr>
        <w:t>access</w:t>
      </w:r>
      <w:r>
        <w:rPr>
          <w:color w:val="6E6158"/>
          <w:spacing w:val="38"/>
        </w:rPr>
        <w:t> </w:t>
      </w:r>
      <w:r>
        <w:rPr>
          <w:color w:val="6E6158"/>
        </w:rPr>
        <w:t>to</w:t>
      </w:r>
      <w:r>
        <w:rPr>
          <w:color w:val="6E6158"/>
          <w:spacing w:val="38"/>
        </w:rPr>
        <w:t> </w:t>
      </w:r>
      <w:r>
        <w:rPr>
          <w:color w:val="6E6158"/>
        </w:rPr>
        <w:t>educational</w:t>
      </w:r>
      <w:r>
        <w:rPr>
          <w:color w:val="6E6158"/>
          <w:spacing w:val="38"/>
        </w:rPr>
        <w:t> </w:t>
      </w:r>
      <w:r>
        <w:rPr>
          <w:color w:val="6E6158"/>
        </w:rPr>
        <w:t>opportunities,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</w:p>
    <w:p>
      <w:pPr>
        <w:pStyle w:val="BodyText"/>
        <w:spacing w:after="0" w:line="292" w:lineRule="auto"/>
        <w:sectPr>
          <w:pgSz w:w="12240" w:h="15840"/>
          <w:pgMar w:top="500" w:bottom="280" w:left="1080" w:right="1080"/>
        </w:sectPr>
      </w:pPr>
    </w:p>
    <w:p>
      <w:pPr>
        <w:pStyle w:val="BodyText"/>
        <w:spacing w:before="83"/>
      </w:pPr>
      <w:r>
        <w:rPr>
          <w:color w:val="6E6158"/>
        </w:rPr>
        <w:t>remain</w:t>
      </w:r>
      <w:r>
        <w:rPr>
          <w:color w:val="6E6158"/>
          <w:spacing w:val="12"/>
        </w:rPr>
        <w:t> </w:t>
      </w:r>
      <w:r>
        <w:rPr>
          <w:color w:val="6E6158"/>
        </w:rPr>
        <w:t>focused</w:t>
      </w:r>
      <w:r>
        <w:rPr>
          <w:color w:val="6E6158"/>
          <w:spacing w:val="13"/>
        </w:rPr>
        <w:t> </w:t>
      </w:r>
      <w:r>
        <w:rPr>
          <w:color w:val="6E6158"/>
        </w:rPr>
        <w:t>on</w:t>
      </w:r>
      <w:r>
        <w:rPr>
          <w:color w:val="6E6158"/>
          <w:spacing w:val="12"/>
        </w:rPr>
        <w:t> </w:t>
      </w:r>
      <w:r>
        <w:rPr>
          <w:color w:val="6E6158"/>
        </w:rPr>
        <w:t>their</w:t>
      </w:r>
      <w:r>
        <w:rPr>
          <w:color w:val="6E6158"/>
          <w:spacing w:val="13"/>
        </w:rPr>
        <w:t> </w:t>
      </w:r>
      <w:r>
        <w:rPr>
          <w:color w:val="6E6158"/>
        </w:rPr>
        <w:t>central</w:t>
      </w:r>
      <w:r>
        <w:rPr>
          <w:color w:val="6E6158"/>
          <w:spacing w:val="12"/>
        </w:rPr>
        <w:t> </w:t>
      </w:r>
      <w:r>
        <w:rPr>
          <w:color w:val="6E6158"/>
        </w:rPr>
        <w:t>mission:</w:t>
      </w:r>
      <w:r>
        <w:rPr>
          <w:color w:val="6E6158"/>
          <w:spacing w:val="13"/>
        </w:rPr>
        <w:t> </w:t>
      </w:r>
      <w:r>
        <w:rPr>
          <w:color w:val="6E6158"/>
        </w:rPr>
        <w:t>educating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supporting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next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generation.</w:t>
      </w:r>
    </w:p>
    <w:sectPr>
      <w:pgSz w:w="12240" w:h="15840"/>
      <w:pgMar w:top="50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5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5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3"/>
      <w:ind w:right="4"/>
      <w:jc w:val="center"/>
      <w:outlineLvl w:val="2"/>
    </w:pPr>
    <w:rPr>
      <w:rFonts w:ascii="Century Gothic" w:hAnsi="Century Gothic" w:eastAsia="Century Gothic" w:cs="Century Gothic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s://www.fennemorelaw.com/services/employment-and-labor-relations/" TargetMode="External"/><Relationship Id="rId10" Type="http://schemas.openxmlformats.org/officeDocument/2006/relationships/hyperlink" Target="https://www.fennemorelaw.com/services/real-estate/" TargetMode="External"/><Relationship Id="rId11" Type="http://schemas.openxmlformats.org/officeDocument/2006/relationships/hyperlink" Target="https://www.fennemorelaw.com/people/attorneys/bruna-e-pedrini/" TargetMode="External"/><Relationship Id="rId12" Type="http://schemas.openxmlformats.org/officeDocument/2006/relationships/hyperlink" Target="https://www.fennemorelaw.com/contact-us/#phoenix" TargetMode="External"/><Relationship Id="rId13" Type="http://schemas.openxmlformats.org/officeDocument/2006/relationships/hyperlink" Target="mailto:bpedrini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- Fennemore</dc:title>
  <dcterms:created xsi:type="dcterms:W3CDTF">2026-10-05T14:00:15Z</dcterms:created>
  <dcterms:modified xsi:type="dcterms:W3CDTF">2026-10-05T14:00:15Z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2026-10-05T00:00:00Z</vt:filetime>
  </property>
  <property fmtid="{D5CDD505-2E9C-101B-9397-08002B2CF9AE}" pid="6" name="Producer">
    <vt:lpwstr>Skia/PDF m153</vt:lpwstr>
  </property>
</Properties>
</file>