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GregoryPowers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58451" y="1369338"/>
                            <a:ext cx="17932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3239" h="320675">
                                <a:moveTo>
                                  <a:pt x="1793062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93062" y="320382"/>
                                </a:lnTo>
                                <a:lnTo>
                                  <a:pt x="1793062" y="315214"/>
                                </a:lnTo>
                                <a:close/>
                              </a:path>
                              <a:path w="1793239" h="320675">
                                <a:moveTo>
                                  <a:pt x="17930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93062" y="5168"/>
                                </a:lnTo>
                                <a:lnTo>
                                  <a:pt x="17930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GREG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POWERS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Land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5"/>
                                    <w:sz w:val="16"/>
                                  </w:rPr>
                                  <w:t>Use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Fennemore</w:t>
                                </w:r>
                                <w:r>
                                  <w:rPr>
                                    <w:color w:val="FFFFFF"/>
                                    <w:spacing w:val="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Forward</w:t>
                                </w:r>
                              </w:hyperlink>
                            </w:p>
                            <w:p>
                              <w:pPr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949.910.3790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gpowers@fennemorelaw.com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GregoryPowers bio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61;top:2156;width:2824;height:505" id="docshape5" coordorigin="5761,2156" coordsize="2824,505" path="m8585,2653l5761,2653,5761,2661,8585,2661,8585,2653xm8585,2156l5761,2156,5761,2165,8585,2165,8585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GREG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POWERS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Land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5"/>
                              <w:sz w:val="16"/>
                            </w:rPr>
                            <w:t>Use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Fennemore</w:t>
                          </w:r>
                          <w:r>
                            <w:rPr>
                              <w:color w:val="FFFFFF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Forward</w:t>
                          </w:r>
                        </w:hyperlink>
                      </w:p>
                      <w:p>
                        <w:pPr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949.910.3790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gpowers@fennemorelaw.com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2"/>
      </w:pPr>
      <w:r>
        <w:rPr>
          <w:color w:val="FF8100"/>
        </w:rPr>
        <w:t>GREG</w:t>
      </w:r>
      <w:r>
        <w:rPr>
          <w:color w:val="FF8100"/>
          <w:spacing w:val="7"/>
        </w:rPr>
        <w:t> </w:t>
      </w:r>
      <w:r>
        <w:rPr>
          <w:color w:val="FF8100"/>
          <w:spacing w:val="-2"/>
        </w:rPr>
        <w:t>POWERS</w:t>
      </w:r>
    </w:p>
    <w:p>
      <w:pPr>
        <w:pStyle w:val="BodyText"/>
        <w:spacing w:line="297" w:lineRule="auto" w:before="147"/>
        <w:ind w:right="656"/>
      </w:pPr>
      <w:r>
        <w:rPr>
          <w:color w:val="6E6158"/>
        </w:rPr>
        <w:t>Gregory Powers is a Director in Fennemore’s Land Use practice group. He represents residential,</w:t>
      </w:r>
      <w:r>
        <w:rPr>
          <w:color w:val="6E6158"/>
          <w:spacing w:val="40"/>
        </w:rPr>
        <w:t> </w:t>
      </w:r>
      <w:r>
        <w:rPr>
          <w:color w:val="6E6158"/>
        </w:rPr>
        <w:t>commercial, and industrial developers, homebuilders, landowners, lenders, equity groups, and</w:t>
      </w:r>
      <w:r>
        <w:rPr>
          <w:color w:val="6E6158"/>
          <w:spacing w:val="40"/>
        </w:rPr>
        <w:t> </w:t>
      </w:r>
      <w:r>
        <w:rPr>
          <w:color w:val="6E6158"/>
        </w:rPr>
        <w:t>other stakeholders in land use, planning, regulatory, and environmental matters.</w:t>
      </w:r>
      <w:r>
        <w:rPr>
          <w:color w:val="6E6158"/>
          <w:spacing w:val="80"/>
        </w:rPr>
        <w:t> </w:t>
      </w:r>
      <w:r>
        <w:rPr>
          <w:color w:val="6E6158"/>
        </w:rPr>
        <w:t>His focus is on counseling clients through California’s regulatory environment, solving complex land use issues,</w:t>
      </w:r>
      <w:r>
        <w:rPr>
          <w:color w:val="6E6158"/>
          <w:spacing w:val="40"/>
        </w:rPr>
        <w:t> </w:t>
      </w:r>
      <w:r>
        <w:rPr>
          <w:color w:val="6E6158"/>
        </w:rPr>
        <w:t>and obtaining all necessary approvals for projects in California.</w:t>
      </w:r>
    </w:p>
    <w:p>
      <w:pPr>
        <w:pStyle w:val="BodyText"/>
        <w:spacing w:line="295" w:lineRule="auto" w:before="191"/>
        <w:ind w:right="589"/>
      </w:pPr>
      <w:r>
        <w:rPr>
          <w:color w:val="6E6158"/>
        </w:rPr>
        <w:t>Gregory regularly advises clients on matters involving land use due diligence, acquisitions and</w:t>
      </w:r>
      <w:r>
        <w:rPr>
          <w:color w:val="6E6158"/>
          <w:spacing w:val="40"/>
        </w:rPr>
        <w:t> </w:t>
      </w:r>
      <w:r>
        <w:rPr>
          <w:color w:val="6E6158"/>
        </w:rPr>
        <w:t>dispositions, entitlement processing and permitting, regulatory agency permitting, legislative</w:t>
      </w:r>
      <w:r>
        <w:rPr>
          <w:color w:val="6E6158"/>
          <w:spacing w:val="40"/>
        </w:rPr>
        <w:t> </w:t>
      </w:r>
      <w:r>
        <w:rPr>
          <w:color w:val="6E6158"/>
        </w:rPr>
        <w:t>affairs (including the multitude of new housing laws in California), and compliance with the</w:t>
      </w:r>
      <w:r>
        <w:rPr>
          <w:color w:val="6E6158"/>
          <w:spacing w:val="40"/>
        </w:rPr>
        <w:t> </w:t>
      </w:r>
      <w:r>
        <w:rPr>
          <w:color w:val="6E6158"/>
        </w:rPr>
        <w:t>California</w:t>
      </w:r>
      <w:r>
        <w:rPr>
          <w:color w:val="6E6158"/>
          <w:spacing w:val="34"/>
        </w:rPr>
        <w:t> </w:t>
      </w:r>
      <w:r>
        <w:rPr>
          <w:color w:val="6E6158"/>
        </w:rPr>
        <w:t>Environmental</w:t>
      </w:r>
      <w:r>
        <w:rPr>
          <w:color w:val="6E6158"/>
          <w:spacing w:val="34"/>
        </w:rPr>
        <w:t> </w:t>
      </w:r>
      <w:r>
        <w:rPr>
          <w:color w:val="6E6158"/>
        </w:rPr>
        <w:t>Quality</w:t>
      </w:r>
      <w:r>
        <w:rPr>
          <w:color w:val="6E6158"/>
          <w:spacing w:val="34"/>
        </w:rPr>
        <w:t> </w:t>
      </w:r>
      <w:r>
        <w:rPr>
          <w:color w:val="6E6158"/>
        </w:rPr>
        <w:t>Act</w:t>
      </w:r>
      <w:r>
        <w:rPr>
          <w:color w:val="6E6158"/>
          <w:spacing w:val="34"/>
        </w:rPr>
        <w:t> </w:t>
      </w:r>
      <w:r>
        <w:rPr>
          <w:color w:val="6E6158"/>
        </w:rPr>
        <w:t>(CEQA).</w:t>
      </w:r>
      <w:r>
        <w:rPr>
          <w:color w:val="6E6158"/>
          <w:spacing w:val="80"/>
        </w:rPr>
        <w:t> </w:t>
      </w:r>
      <w:r>
        <w:rPr>
          <w:color w:val="6E6158"/>
        </w:rPr>
        <w:t>He</w:t>
      </w:r>
      <w:r>
        <w:rPr>
          <w:color w:val="6E6158"/>
          <w:spacing w:val="34"/>
        </w:rPr>
        <w:t> </w:t>
      </w:r>
      <w:r>
        <w:rPr>
          <w:color w:val="6E6158"/>
        </w:rPr>
        <w:t>also</w:t>
      </w:r>
      <w:r>
        <w:rPr>
          <w:color w:val="6E6158"/>
          <w:spacing w:val="34"/>
        </w:rPr>
        <w:t> </w:t>
      </w:r>
      <w:r>
        <w:rPr>
          <w:color w:val="6E6158"/>
        </w:rPr>
        <w:t>represents</w:t>
      </w:r>
      <w:r>
        <w:rPr>
          <w:color w:val="6E6158"/>
          <w:spacing w:val="34"/>
        </w:rPr>
        <w:t> </w:t>
      </w:r>
      <w:r>
        <w:rPr>
          <w:color w:val="6E6158"/>
        </w:rPr>
        <w:t>clients</w:t>
      </w:r>
      <w:r>
        <w:rPr>
          <w:color w:val="6E6158"/>
          <w:spacing w:val="34"/>
        </w:rPr>
        <w:t> </w:t>
      </w:r>
      <w:r>
        <w:rPr>
          <w:color w:val="6E6158"/>
        </w:rPr>
        <w:t>in</w:t>
      </w:r>
      <w:r>
        <w:rPr>
          <w:color w:val="6E6158"/>
          <w:spacing w:val="34"/>
        </w:rPr>
        <w:t> </w:t>
      </w:r>
      <w:r>
        <w:rPr>
          <w:color w:val="6E6158"/>
        </w:rPr>
        <w:t>administrative hearings and litigation in state and federal courts, helping clients in disputes regarding land use,</w:t>
      </w:r>
      <w:r>
        <w:rPr>
          <w:color w:val="6E6158"/>
          <w:spacing w:val="40"/>
        </w:rPr>
        <w:t> </w:t>
      </w:r>
      <w:r>
        <w:rPr>
          <w:color w:val="6E6158"/>
        </w:rPr>
        <w:t>environmental, and regulatory matters.</w:t>
      </w:r>
    </w:p>
    <w:p>
      <w:pPr>
        <w:pStyle w:val="BodyText"/>
        <w:spacing w:line="302" w:lineRule="auto" w:before="193"/>
        <w:ind w:right="157"/>
      </w:pPr>
      <w:r>
        <w:rPr>
          <w:color w:val="6E6158"/>
        </w:rPr>
        <w:t>Before joining Fennemore, Gregory was Regional Land Use Counsel for one of the largest private</w:t>
      </w:r>
      <w:r>
        <w:rPr>
          <w:color w:val="6E6158"/>
          <w:spacing w:val="40"/>
        </w:rPr>
        <w:t> </w:t>
      </w:r>
      <w:r>
        <w:rPr>
          <w:color w:val="6E6158"/>
        </w:rPr>
        <w:t>master</w:t>
      </w:r>
      <w:r>
        <w:rPr>
          <w:color w:val="6E6158"/>
          <w:spacing w:val="30"/>
        </w:rPr>
        <w:t> </w:t>
      </w:r>
      <w:r>
        <w:rPr>
          <w:color w:val="6E6158"/>
        </w:rPr>
        <w:t>developers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western</w:t>
      </w:r>
      <w:r>
        <w:rPr>
          <w:color w:val="6E6158"/>
          <w:spacing w:val="30"/>
        </w:rPr>
        <w:t> </w:t>
      </w:r>
      <w:r>
        <w:rPr>
          <w:color w:val="6E6158"/>
        </w:rPr>
        <w:t>United</w:t>
      </w:r>
      <w:r>
        <w:rPr>
          <w:color w:val="6E6158"/>
          <w:spacing w:val="30"/>
        </w:rPr>
        <w:t> </w:t>
      </w:r>
      <w:r>
        <w:rPr>
          <w:color w:val="6E6158"/>
        </w:rPr>
        <w:t>States.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that</w:t>
      </w:r>
      <w:r>
        <w:rPr>
          <w:color w:val="6E6158"/>
          <w:spacing w:val="30"/>
        </w:rPr>
        <w:t> </w:t>
      </w:r>
      <w:r>
        <w:rPr>
          <w:color w:val="6E6158"/>
        </w:rPr>
        <w:t>role,</w:t>
      </w:r>
      <w:r>
        <w:rPr>
          <w:color w:val="6E6158"/>
          <w:spacing w:val="30"/>
        </w:rPr>
        <w:t> </w:t>
      </w:r>
      <w:r>
        <w:rPr>
          <w:color w:val="6E6158"/>
        </w:rPr>
        <w:t>he</w:t>
      </w:r>
      <w:r>
        <w:rPr>
          <w:color w:val="6E6158"/>
          <w:spacing w:val="30"/>
        </w:rPr>
        <w:t> </w:t>
      </w:r>
      <w:r>
        <w:rPr>
          <w:color w:val="6E6158"/>
        </w:rPr>
        <w:t>handled</w:t>
      </w:r>
      <w:r>
        <w:rPr>
          <w:color w:val="6E6158"/>
          <w:spacing w:val="30"/>
        </w:rPr>
        <w:t> </w:t>
      </w:r>
      <w:r>
        <w:rPr>
          <w:color w:val="6E6158"/>
        </w:rPr>
        <w:t>environmental</w:t>
      </w:r>
      <w:r>
        <w:rPr>
          <w:color w:val="6E6158"/>
          <w:spacing w:val="30"/>
        </w:rPr>
        <w:t> </w:t>
      </w:r>
      <w:r>
        <w:rPr>
          <w:color w:val="6E6158"/>
        </w:rPr>
        <w:t>review,</w:t>
      </w:r>
    </w:p>
    <w:p>
      <w:pPr>
        <w:pStyle w:val="BodyText"/>
        <w:spacing w:line="292" w:lineRule="auto"/>
        <w:ind w:right="656"/>
      </w:pPr>
      <w:r>
        <w:rPr>
          <w:color w:val="6E6158"/>
        </w:rPr>
        <w:t>development entitlements, utility and infrastructure planning, and permitting for residential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mixed-use projects throughout California.</w:t>
      </w:r>
    </w:p>
    <w:p>
      <w:pPr>
        <w:pStyle w:val="BodyText"/>
        <w:spacing w:line="297" w:lineRule="auto" w:before="187"/>
        <w:ind w:right="656"/>
      </w:pPr>
      <w:r>
        <w:rPr>
          <w:color w:val="6E6158"/>
        </w:rPr>
        <w:t>Prior to entering the private sector, Gregory served as City Attorney for several California cities</w:t>
      </w:r>
      <w:r>
        <w:rPr>
          <w:color w:val="6E6158"/>
          <w:spacing w:val="40"/>
        </w:rPr>
        <w:t> </w:t>
      </w:r>
      <w:r>
        <w:rPr>
          <w:color w:val="6E6158"/>
        </w:rPr>
        <w:t>and as General Counsel and Special Counsel to school districts, water districts, resource</w:t>
      </w:r>
      <w:r>
        <w:rPr>
          <w:color w:val="6E6158"/>
          <w:spacing w:val="40"/>
        </w:rPr>
        <w:t> </w:t>
      </w:r>
      <w:r>
        <w:rPr>
          <w:color w:val="6E6158"/>
        </w:rPr>
        <w:t>conservation agencies, nonprofit organizations, and joint powers authorities. He advised public</w:t>
      </w:r>
      <w:r>
        <w:rPr>
          <w:color w:val="6E6158"/>
          <w:spacing w:val="40"/>
        </w:rPr>
        <w:t> </w:t>
      </w:r>
      <w:r>
        <w:rPr>
          <w:color w:val="6E6158"/>
        </w:rPr>
        <w:t>agencies on a range of governmental law matters, including the Ralph M. Brown Act, Political</w:t>
      </w:r>
      <w:r>
        <w:rPr>
          <w:color w:val="6E6158"/>
          <w:spacing w:val="40"/>
        </w:rPr>
        <w:t> </w:t>
      </w:r>
      <w:r>
        <w:rPr>
          <w:color w:val="6E6158"/>
        </w:rPr>
        <w:t>Reform Act, Mitigation Fee Act, and other governmental laws.</w:t>
      </w:r>
      <w:r>
        <w:rPr>
          <w:color w:val="6E6158"/>
          <w:spacing w:val="80"/>
        </w:rPr>
        <w:t> </w:t>
      </w:r>
      <w:r>
        <w:rPr>
          <w:color w:val="6E6158"/>
        </w:rPr>
        <w:t>This experience provides </w:t>
      </w:r>
      <w:r>
        <w:rPr>
          <w:color w:val="6E6158"/>
        </w:rPr>
        <w:t>added perspective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experience</w:t>
      </w:r>
      <w:r>
        <w:rPr>
          <w:color w:val="6E6158"/>
          <w:spacing w:val="31"/>
        </w:rPr>
        <w:t> </w:t>
      </w:r>
      <w:r>
        <w:rPr>
          <w:color w:val="6E6158"/>
        </w:rPr>
        <w:t>that</w:t>
      </w:r>
      <w:r>
        <w:rPr>
          <w:color w:val="6E6158"/>
          <w:spacing w:val="31"/>
        </w:rPr>
        <w:t> </w:t>
      </w:r>
      <w:r>
        <w:rPr>
          <w:color w:val="6E6158"/>
        </w:rPr>
        <w:t>has</w:t>
      </w:r>
      <w:r>
        <w:rPr>
          <w:color w:val="6E6158"/>
          <w:spacing w:val="31"/>
        </w:rPr>
        <w:t> </w:t>
      </w:r>
      <w:r>
        <w:rPr>
          <w:color w:val="6E6158"/>
        </w:rPr>
        <w:t>proved</w:t>
      </w:r>
      <w:r>
        <w:rPr>
          <w:color w:val="6E6158"/>
          <w:spacing w:val="31"/>
        </w:rPr>
        <w:t> </w:t>
      </w:r>
      <w:r>
        <w:rPr>
          <w:color w:val="6E6158"/>
        </w:rPr>
        <w:t>invaluable</w:t>
      </w:r>
      <w:r>
        <w:rPr>
          <w:color w:val="6E6158"/>
          <w:spacing w:val="31"/>
        </w:rPr>
        <w:t> </w:t>
      </w:r>
      <w:r>
        <w:rPr>
          <w:color w:val="6E6158"/>
        </w:rPr>
        <w:t>on</w:t>
      </w:r>
      <w:r>
        <w:rPr>
          <w:color w:val="6E6158"/>
          <w:spacing w:val="31"/>
        </w:rPr>
        <w:t> </w:t>
      </w:r>
      <w:r>
        <w:rPr>
          <w:color w:val="6E6158"/>
        </w:rPr>
        <w:t>many</w:t>
      </w:r>
      <w:r>
        <w:rPr>
          <w:color w:val="6E6158"/>
          <w:spacing w:val="31"/>
        </w:rPr>
        <w:t> </w:t>
      </w:r>
      <w:r>
        <w:rPr>
          <w:color w:val="6E6158"/>
        </w:rPr>
        <w:t>projects</w:t>
      </w:r>
      <w:r>
        <w:rPr>
          <w:color w:val="6E6158"/>
          <w:spacing w:val="31"/>
        </w:rPr>
        <w:t> </w:t>
      </w:r>
      <w:r>
        <w:rPr>
          <w:color w:val="6E6158"/>
        </w:rPr>
        <w:t>over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years.</w:t>
      </w:r>
    </w:p>
    <w:p>
      <w:pPr>
        <w:pStyle w:val="Heading2"/>
        <w:spacing w:before="154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5683"/>
      </w:pPr>
      <w:r>
        <w:rPr>
          <w:color w:val="6E6158"/>
        </w:rPr>
        <w:t>J.D., Gonzaga University School of </w:t>
      </w:r>
      <w:r>
        <w:rPr>
          <w:color w:val="6E6158"/>
        </w:rPr>
        <w:t>Law</w:t>
      </w:r>
      <w:r>
        <w:rPr>
          <w:color w:val="6E6158"/>
        </w:rPr>
        <w:t> B.A., Pepperdine University</w:t>
      </w:r>
    </w:p>
    <w:p>
      <w:pPr>
        <w:spacing w:before="29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EXPERIENCE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Environmental</w:t>
      </w:r>
      <w:r>
        <w:rPr>
          <w:color w:val="6E6158"/>
          <w:spacing w:val="26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63"/>
        <w:ind w:left="0"/>
      </w:pPr>
    </w:p>
    <w:p>
      <w:pPr>
        <w:pStyle w:val="BodyText"/>
        <w:spacing w:line="427" w:lineRule="auto"/>
        <w:ind w:right="8396"/>
      </w:pPr>
      <w:r>
        <w:rPr>
          <w:color w:val="6E6158"/>
        </w:rPr>
        <w:t>Land Use Real</w:t>
      </w:r>
      <w:r>
        <w:rPr>
          <w:color w:val="6E6158"/>
          <w:spacing w:val="-10"/>
        </w:rPr>
        <w:t> </w:t>
      </w:r>
      <w:r>
        <w:rPr>
          <w:color w:val="6E6158"/>
        </w:rPr>
        <w:t>Estate</w:t>
      </w:r>
    </w:p>
    <w:p>
      <w:pPr>
        <w:pStyle w:val="Heading2"/>
        <w:spacing w:before="276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California</w:t>
      </w:r>
    </w:p>
    <w:p>
      <w:pPr>
        <w:pStyle w:val="BodyText"/>
        <w:spacing w:before="174"/>
      </w:pPr>
      <w:r>
        <w:rPr>
          <w:color w:val="6E6158"/>
        </w:rPr>
        <w:t>United</w:t>
      </w:r>
      <w:r>
        <w:rPr>
          <w:color w:val="6E6158"/>
          <w:spacing w:val="13"/>
        </w:rPr>
        <w:t> </w:t>
      </w:r>
      <w:r>
        <w:rPr>
          <w:color w:val="6E6158"/>
        </w:rPr>
        <w:t>State</w:t>
      </w:r>
      <w:r>
        <w:rPr>
          <w:color w:val="6E6158"/>
          <w:spacing w:val="13"/>
        </w:rPr>
        <w:t> </w:t>
      </w:r>
      <w:r>
        <w:rPr>
          <w:color w:val="6E6158"/>
        </w:rPr>
        <w:t>Supreme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Court</w:t>
      </w:r>
    </w:p>
    <w:p>
      <w:pPr>
        <w:pStyle w:val="BodyText"/>
        <w:spacing w:before="174"/>
      </w:pPr>
      <w:r>
        <w:rPr>
          <w:color w:val="6E6158"/>
        </w:rPr>
        <w:t>United</w:t>
      </w:r>
      <w:r>
        <w:rPr>
          <w:color w:val="6E6158"/>
          <w:spacing w:val="11"/>
        </w:rPr>
        <w:t> </w:t>
      </w:r>
      <w:r>
        <w:rPr>
          <w:color w:val="6E6158"/>
        </w:rPr>
        <w:t>States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Central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California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2"/>
      <w:ind w:left="99"/>
      <w:outlineLvl w:val="1"/>
    </w:pPr>
    <w:rPr>
      <w:rFonts w:ascii="Century Gothic" w:hAnsi="Century Gothic" w:eastAsia="Century Gothic" w:cs="Century Gothic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67"/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land-use/" TargetMode="External"/><Relationship Id="rId9" Type="http://schemas.openxmlformats.org/officeDocument/2006/relationships/hyperlink" Target="https://www.fennemorelaw.com/contact-us/fennemore-forward/" TargetMode="External"/><Relationship Id="rId10" Type="http://schemas.openxmlformats.org/officeDocument/2006/relationships/hyperlink" Target="mailto:gpowers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Greg Powers - Fennemore</dc:title>
  <dcterms:created xsi:type="dcterms:W3CDTF">2026-10-14T19:38:45Z</dcterms:created>
  <dcterms:modified xsi:type="dcterms:W3CDTF">2026-10-14T19:38:45Z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2026-10-14T00:00:00Z</vt:filetime>
  </property>
  <property fmtid="{D5CDD505-2E9C-101B-9397-08002B2CF9AE}" pid="6" name="Producer">
    <vt:lpwstr>Skia/PDF m155</vt:lpwstr>
  </property>
</Properties>
</file>