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line="240" w:lineRule="auto"/>
        <w:ind w:left="-104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mc:AlternateContent>
          <mc:Choice Requires="wps">
            <w:drawing>
              <wp:inline distT="0" distB="0" distL="0" distR="0">
                <wp:extent cx="6071870" cy="3162935"/>
                <wp:effectExtent l="0" t="0" r="0" b="8889"/>
                <wp:docPr id="1" name="Group 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" name="Group 1"/>
                      <wpg:cNvGrpSpPr/>
                      <wpg:grpSpPr>
                        <a:xfrm>
                          <a:off x="0" y="0"/>
                          <a:ext cx="6071870" cy="3162935"/>
                          <a:chExt cx="6071870" cy="3162935"/>
                        </a:xfrm>
                      </wpg:grpSpPr>
                      <pic:pic>
                        <pic:nvPicPr>
                          <pic:cNvPr id="2" name="Image 2" descr="Fennemore">
                            <a:hlinkClick r:id="rId6"/>
                          </pic:cNvPr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4505" cy="26870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3" name="Image 3" descr="Jake Moawad bio.pn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268700"/>
                            <a:ext cx="3038379" cy="289369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" name="Graphic 4"/>
                        <wps:cNvSpPr/>
                        <wps:spPr>
                          <a:xfrm>
                            <a:off x="3038379" y="268700"/>
                            <a:ext cx="3033395" cy="28936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033395" h="2893695">
                                <a:moveTo>
                                  <a:pt x="3033212" y="2893694"/>
                                </a:moveTo>
                                <a:lnTo>
                                  <a:pt x="0" y="2893694"/>
                                </a:lnTo>
                                <a:lnTo>
                                  <a:pt x="0" y="0"/>
                                </a:lnTo>
                                <a:lnTo>
                                  <a:pt x="3033212" y="0"/>
                                </a:lnTo>
                                <a:lnTo>
                                  <a:pt x="3033212" y="28936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6242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Graphic 5"/>
                        <wps:cNvSpPr/>
                        <wps:spPr>
                          <a:xfrm>
                            <a:off x="3493097" y="1643214"/>
                            <a:ext cx="2118995" cy="3206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18995" h="320675">
                                <a:moveTo>
                                  <a:pt x="2118601" y="315201"/>
                                </a:moveTo>
                                <a:lnTo>
                                  <a:pt x="0" y="315201"/>
                                </a:lnTo>
                                <a:lnTo>
                                  <a:pt x="0" y="320370"/>
                                </a:lnTo>
                                <a:lnTo>
                                  <a:pt x="2118601" y="320370"/>
                                </a:lnTo>
                                <a:lnTo>
                                  <a:pt x="2118601" y="315201"/>
                                </a:lnTo>
                                <a:close/>
                              </a:path>
                              <a:path w="2118995" h="320675">
                                <a:moveTo>
                                  <a:pt x="211860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168"/>
                                </a:lnTo>
                                <a:lnTo>
                                  <a:pt x="2118601" y="5168"/>
                                </a:lnTo>
                                <a:lnTo>
                                  <a:pt x="21186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Textbox 6"/>
                        <wps:cNvSpPr txBox="1"/>
                        <wps:spPr>
                          <a:xfrm>
                            <a:off x="3038379" y="268700"/>
                            <a:ext cx="3033395" cy="289369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40" w:lineRule="auto" w:before="370"/>
                                <w:rPr>
                                  <w:rFonts w:ascii="Times New Roman"/>
                                  <w:sz w:val="39"/>
                                </w:rPr>
                              </w:pPr>
                            </w:p>
                            <w:p>
                              <w:pPr>
                                <w:spacing w:line="216" w:lineRule="auto" w:before="0"/>
                                <w:ind w:left="1448" w:right="1450" w:hanging="1"/>
                                <w:jc w:val="center"/>
                                <w:rPr>
                                  <w:sz w:val="39"/>
                                </w:rPr>
                              </w:pPr>
                              <w:r>
                                <w:rPr>
                                  <w:color w:val="FFFFFF"/>
                                  <w:sz w:val="39"/>
                                </w:rPr>
                                <w:t>JAKE N. </w:t>
                              </w:r>
                              <w:r>
                                <w:rPr>
                                  <w:color w:val="FFFFFF"/>
                                  <w:spacing w:val="-12"/>
                                  <w:sz w:val="39"/>
                                </w:rPr>
                                <w:t>MOAWAD</w:t>
                              </w:r>
                            </w:p>
                            <w:p>
                              <w:pPr>
                                <w:spacing w:before="48"/>
                                <w:ind w:left="0" w:right="2" w:firstLine="0"/>
                                <w:jc w:val="center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color w:val="FFFFFF"/>
                                  <w:spacing w:val="-2"/>
                                  <w:sz w:val="24"/>
                                </w:rPr>
                                <w:t>Associate</w:t>
                              </w:r>
                            </w:p>
                            <w:p>
                              <w:pPr>
                                <w:spacing w:before="291"/>
                                <w:ind w:left="0" w:right="2" w:firstLine="0"/>
                                <w:jc w:val="center"/>
                                <w:rPr>
                                  <w:sz w:val="16"/>
                                </w:rPr>
                              </w:pPr>
                              <w:hyperlink r:id="rId8">
                                <w:r>
                                  <w:rPr>
                                    <w:color w:val="FFFFFF"/>
                                    <w:sz w:val="16"/>
                                  </w:rPr>
                                  <w:t>Business</w:t>
                                </w:r>
                                <w:r>
                                  <w:rPr>
                                    <w:color w:val="FFFFFF"/>
                                    <w:spacing w:val="6"/>
                                    <w:sz w:val="16"/>
                                  </w:rPr>
                                  <w:t> </w:t>
                                </w:r>
                                <w:r>
                                  <w:rPr>
                                    <w:color w:val="FFFFFF"/>
                                    <w:spacing w:val="-2"/>
                                    <w:sz w:val="16"/>
                                  </w:rPr>
                                  <w:t>Litigation</w:t>
                                </w:r>
                              </w:hyperlink>
                            </w:p>
                            <w:p>
                              <w:pPr>
                                <w:spacing w:line="240" w:lineRule="auto" w:before="0"/>
                                <w:rPr>
                                  <w:sz w:val="16"/>
                                </w:rPr>
                              </w:pPr>
                            </w:p>
                            <w:p>
                              <w:pPr>
                                <w:spacing w:line="240" w:lineRule="auto" w:before="38"/>
                                <w:rPr>
                                  <w:sz w:val="16"/>
                                </w:rPr>
                              </w:pPr>
                            </w:p>
                            <w:p>
                              <w:pPr>
                                <w:spacing w:before="0"/>
                                <w:ind w:left="0" w:right="2" w:firstLine="0"/>
                                <w:jc w:val="center"/>
                                <w:rPr>
                                  <w:sz w:val="16"/>
                                </w:rPr>
                              </w:pPr>
                              <w:hyperlink r:id="rId9">
                                <w:r>
                                  <w:rPr>
                                    <w:color w:val="FFFFFF"/>
                                    <w:spacing w:val="-2"/>
                                    <w:sz w:val="16"/>
                                  </w:rPr>
                                  <w:t>Oakland</w:t>
                                </w:r>
                              </w:hyperlink>
                            </w:p>
                            <w:p>
                              <w:pPr>
                                <w:tabs>
                                  <w:tab w:pos="1840" w:val="left" w:leader="none"/>
                                </w:tabs>
                                <w:spacing w:before="54"/>
                                <w:ind w:left="0" w:right="2" w:firstLine="0"/>
                                <w:jc w:val="center"/>
                                <w:rPr>
                                  <w:sz w:val="17"/>
                                </w:rPr>
                              </w:pPr>
                              <w:r>
                                <w:rPr>
                                  <w:color w:val="FFFFFF"/>
                                  <w:sz w:val="17"/>
                                </w:rPr>
                                <w:t>P: </w:t>
                              </w:r>
                              <w:r>
                                <w:rPr>
                                  <w:color w:val="FFFFFF"/>
                                  <w:spacing w:val="-2"/>
                                  <w:sz w:val="17"/>
                                </w:rPr>
                                <w:t>510.622.7507</w:t>
                              </w:r>
                              <w:r>
                                <w:rPr>
                                  <w:color w:val="FFFFFF"/>
                                  <w:sz w:val="17"/>
                                </w:rPr>
                                <w:tab/>
                                <w:t>F:</w:t>
                              </w:r>
                              <w:r>
                                <w:rPr>
                                  <w:color w:val="FFFFFF"/>
                                  <w:spacing w:val="-2"/>
                                  <w:sz w:val="17"/>
                                </w:rPr>
                                <w:t> 510.834.1928</w:t>
                              </w:r>
                            </w:p>
                            <w:p>
                              <w:pPr>
                                <w:spacing w:before="119"/>
                                <w:ind w:left="0" w:right="2" w:firstLine="0"/>
                                <w:jc w:val="center"/>
                                <w:rPr>
                                  <w:sz w:val="16"/>
                                </w:rPr>
                              </w:pPr>
                              <w:hyperlink r:id="rId10">
                                <w:r>
                                  <w:rPr>
                                    <w:color w:val="FFFFFF"/>
                                    <w:spacing w:val="-2"/>
                                    <w:sz w:val="16"/>
                                  </w:rPr>
                                  <w:t>jmoawad@fennemorelaw.com</w:t>
                                </w:r>
                              </w:hyperlink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478.1pt;height:249.05pt;mso-position-horizontal-relative:char;mso-position-vertical-relative:line" id="docshapegroup1" coordorigin="0,0" coordsize="9562,4981">
                <v:shape style="position:absolute;left:0;top:0;width:2165;height:424" type="#_x0000_t75" id="docshape2" alt="Fennemore" href="https://www.fennemorelaw.com/" stroked="false">
                  <v:imagedata r:id="rId5" o:title=""/>
                </v:shape>
                <v:shape style="position:absolute;left:0;top:423;width:4785;height:4557" type="#_x0000_t75" id="docshape3" alt="Jake Moawad bio.png" stroked="false">
                  <v:imagedata r:id="rId7" o:title=""/>
                </v:shape>
                <v:rect style="position:absolute;left:4784;top:423;width:4777;height:4557" id="docshape4" filled="true" fillcolor="#262424" stroked="false">
                  <v:fill type="solid"/>
                </v:rect>
                <v:shape style="position:absolute;left:5500;top:2587;width:3337;height:505" id="docshape5" coordorigin="5501,2588" coordsize="3337,505" path="m8837,3084l5501,3084,5501,3092,8837,3092,8837,3084xm8837,2588l5501,2588,5501,2596,8837,2596,8837,2588xe" filled="true" fillcolor="#ffffff" stroked="false">
                  <v:path arrowok="t"/>
                  <v:fill type="solid"/>
                </v:shape>
                <v:shapetype id="_x0000_t202" o:spt="202" coordsize="21600,21600" path="m,l,21600r21600,l21600,xe">
                  <v:stroke joinstyle="miter"/>
                  <v:path gradientshapeok="t" o:connecttype="rect"/>
                </v:shapetype>
                <v:shape style="position:absolute;left:4784;top:423;width:4777;height:4557" type="#_x0000_t202" id="docshape6" filled="false" stroked="false">
                  <v:textbox inset="0,0,0,0">
                    <w:txbxContent>
                      <w:p>
                        <w:pPr>
                          <w:spacing w:line="240" w:lineRule="auto" w:before="370"/>
                          <w:rPr>
                            <w:rFonts w:ascii="Times New Roman"/>
                            <w:sz w:val="39"/>
                          </w:rPr>
                        </w:pPr>
                      </w:p>
                      <w:p>
                        <w:pPr>
                          <w:spacing w:line="216" w:lineRule="auto" w:before="0"/>
                          <w:ind w:left="1448" w:right="1450" w:hanging="1"/>
                          <w:jc w:val="center"/>
                          <w:rPr>
                            <w:sz w:val="39"/>
                          </w:rPr>
                        </w:pPr>
                        <w:r>
                          <w:rPr>
                            <w:color w:val="FFFFFF"/>
                            <w:sz w:val="39"/>
                          </w:rPr>
                          <w:t>JAKE N. </w:t>
                        </w:r>
                        <w:r>
                          <w:rPr>
                            <w:color w:val="FFFFFF"/>
                            <w:spacing w:val="-12"/>
                            <w:sz w:val="39"/>
                          </w:rPr>
                          <w:t>MOAWAD</w:t>
                        </w:r>
                      </w:p>
                      <w:p>
                        <w:pPr>
                          <w:spacing w:before="48"/>
                          <w:ind w:left="0" w:right="2" w:firstLine="0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color w:val="FFFFFF"/>
                            <w:spacing w:val="-2"/>
                            <w:sz w:val="24"/>
                          </w:rPr>
                          <w:t>Associate</w:t>
                        </w:r>
                      </w:p>
                      <w:p>
                        <w:pPr>
                          <w:spacing w:before="291"/>
                          <w:ind w:left="0" w:right="2" w:firstLine="0"/>
                          <w:jc w:val="center"/>
                          <w:rPr>
                            <w:sz w:val="16"/>
                          </w:rPr>
                        </w:pPr>
                        <w:hyperlink r:id="rId8">
                          <w:r>
                            <w:rPr>
                              <w:color w:val="FFFFFF"/>
                              <w:sz w:val="16"/>
                            </w:rPr>
                            <w:t>Business</w:t>
                          </w:r>
                          <w:r>
                            <w:rPr>
                              <w:color w:val="FFFFFF"/>
                              <w:spacing w:val="6"/>
                              <w:sz w:val="16"/>
                            </w:rPr>
                            <w:t> </w:t>
                          </w:r>
                          <w:r>
                            <w:rPr>
                              <w:color w:val="FFFFFF"/>
                              <w:spacing w:val="-2"/>
                              <w:sz w:val="16"/>
                            </w:rPr>
                            <w:t>Litigation</w:t>
                          </w:r>
                        </w:hyperlink>
                      </w:p>
                      <w:p>
                        <w:pPr>
                          <w:spacing w:line="240" w:lineRule="auto" w:before="0"/>
                          <w:rPr>
                            <w:sz w:val="16"/>
                          </w:rPr>
                        </w:pPr>
                      </w:p>
                      <w:p>
                        <w:pPr>
                          <w:spacing w:line="240" w:lineRule="auto" w:before="38"/>
                          <w:rPr>
                            <w:sz w:val="16"/>
                          </w:rPr>
                        </w:pPr>
                      </w:p>
                      <w:p>
                        <w:pPr>
                          <w:spacing w:before="0"/>
                          <w:ind w:left="0" w:right="2" w:firstLine="0"/>
                          <w:jc w:val="center"/>
                          <w:rPr>
                            <w:sz w:val="16"/>
                          </w:rPr>
                        </w:pPr>
                        <w:hyperlink r:id="rId9">
                          <w:r>
                            <w:rPr>
                              <w:color w:val="FFFFFF"/>
                              <w:spacing w:val="-2"/>
                              <w:sz w:val="16"/>
                            </w:rPr>
                            <w:t>Oakland</w:t>
                          </w:r>
                        </w:hyperlink>
                      </w:p>
                      <w:p>
                        <w:pPr>
                          <w:tabs>
                            <w:tab w:pos="1840" w:val="left" w:leader="none"/>
                          </w:tabs>
                          <w:spacing w:before="54"/>
                          <w:ind w:left="0" w:right="2" w:firstLine="0"/>
                          <w:jc w:val="center"/>
                          <w:rPr>
                            <w:sz w:val="17"/>
                          </w:rPr>
                        </w:pPr>
                        <w:r>
                          <w:rPr>
                            <w:color w:val="FFFFFF"/>
                            <w:sz w:val="17"/>
                          </w:rPr>
                          <w:t>P: </w:t>
                        </w:r>
                        <w:r>
                          <w:rPr>
                            <w:color w:val="FFFFFF"/>
                            <w:spacing w:val="-2"/>
                            <w:sz w:val="17"/>
                          </w:rPr>
                          <w:t>510.622.7507</w:t>
                        </w:r>
                        <w:r>
                          <w:rPr>
                            <w:color w:val="FFFFFF"/>
                            <w:sz w:val="17"/>
                          </w:rPr>
                          <w:tab/>
                          <w:t>F:</w:t>
                        </w:r>
                        <w:r>
                          <w:rPr>
                            <w:color w:val="FFFFFF"/>
                            <w:spacing w:val="-2"/>
                            <w:sz w:val="17"/>
                          </w:rPr>
                          <w:t> 510.834.1928</w:t>
                        </w:r>
                      </w:p>
                      <w:p>
                        <w:pPr>
                          <w:spacing w:before="119"/>
                          <w:ind w:left="0" w:right="2" w:firstLine="0"/>
                          <w:jc w:val="center"/>
                          <w:rPr>
                            <w:sz w:val="16"/>
                          </w:rPr>
                        </w:pPr>
                        <w:hyperlink r:id="rId10">
                          <w:r>
                            <w:rPr>
                              <w:color w:val="FFFFFF"/>
                              <w:spacing w:val="-2"/>
                              <w:sz w:val="16"/>
                            </w:rPr>
                            <w:t>jmoawad@fennemorelaw.com</w:t>
                          </w:r>
                        </w:hyperlink>
                      </w:p>
                    </w:txbxContent>
                  </v:textbox>
                  <w10:wrap type="none"/>
                </v:shape>
              </v:group>
            </w:pict>
          </mc:Fallback>
        </mc:AlternateContent>
      </w:r>
      <w:r>
        <w:rPr>
          <w:rFonts w:ascii="Times New Roman"/>
          <w:sz w:val="20"/>
        </w:rPr>
      </w:r>
    </w:p>
    <w:p>
      <w:pPr>
        <w:pStyle w:val="Heading1"/>
        <w:spacing w:before="63"/>
      </w:pPr>
      <w:r>
        <w:rPr>
          <w:color w:val="FF8100"/>
        </w:rPr>
        <w:t>JAKE</w:t>
      </w:r>
      <w:r>
        <w:rPr>
          <w:color w:val="FF8100"/>
          <w:spacing w:val="5"/>
        </w:rPr>
        <w:t> </w:t>
      </w:r>
      <w:r>
        <w:rPr>
          <w:color w:val="FF8100"/>
        </w:rPr>
        <w:t>N.</w:t>
      </w:r>
      <w:r>
        <w:rPr>
          <w:color w:val="FF8100"/>
          <w:spacing w:val="5"/>
        </w:rPr>
        <w:t> </w:t>
      </w:r>
      <w:r>
        <w:rPr>
          <w:color w:val="FF8100"/>
          <w:spacing w:val="-2"/>
        </w:rPr>
        <w:t>MOAWAD</w:t>
      </w:r>
    </w:p>
    <w:p>
      <w:pPr>
        <w:pStyle w:val="BodyText"/>
        <w:spacing w:line="295" w:lineRule="auto" w:before="147"/>
        <w:ind w:right="472"/>
      </w:pPr>
      <w:r>
        <w:rPr>
          <w:color w:val="6E6158"/>
        </w:rPr>
        <w:t>Jake Moawad is a </w:t>
      </w:r>
      <w:hyperlink r:id="rId8">
        <w:r>
          <w:rPr>
            <w:color w:val="F5821F"/>
          </w:rPr>
          <w:t>business litigation</w:t>
        </w:r>
      </w:hyperlink>
      <w:r>
        <w:rPr>
          <w:color w:val="F5821F"/>
        </w:rPr>
        <w:t> </w:t>
      </w:r>
      <w:r>
        <w:rPr>
          <w:color w:val="6E6158"/>
        </w:rPr>
        <w:t>associate representing both individuals and companies in</w:t>
      </w:r>
      <w:r>
        <w:rPr>
          <w:color w:val="6E6158"/>
          <w:spacing w:val="40"/>
        </w:rPr>
        <w:t> </w:t>
      </w:r>
      <w:r>
        <w:rPr>
          <w:color w:val="6E6158"/>
        </w:rPr>
        <w:t>commercial disputes in state and federal courts. He works with businesses ranging from emerging</w:t>
      </w:r>
      <w:r>
        <w:rPr>
          <w:color w:val="6E6158"/>
          <w:spacing w:val="40"/>
        </w:rPr>
        <w:t> </w:t>
      </w:r>
      <w:r>
        <w:rPr>
          <w:color w:val="6E6158"/>
        </w:rPr>
        <w:t>startups to Fortune 500 organizations, helping clients resolve contract disputes, business torts,</w:t>
      </w:r>
      <w:r>
        <w:rPr>
          <w:color w:val="6E6158"/>
          <w:spacing w:val="40"/>
        </w:rPr>
        <w:t> </w:t>
      </w:r>
      <w:r>
        <w:rPr>
          <w:color w:val="6E6158"/>
        </w:rPr>
        <w:t>franchise litigation, and other high-stakes commercial conflicts through strategic advocacy and</w:t>
      </w:r>
      <w:r>
        <w:rPr>
          <w:color w:val="6E6158"/>
          <w:spacing w:val="40"/>
        </w:rPr>
        <w:t> </w:t>
      </w:r>
      <w:r>
        <w:rPr>
          <w:color w:val="6E6158"/>
        </w:rPr>
        <w:t>practical legal counsel.</w:t>
      </w:r>
    </w:p>
    <w:p>
      <w:pPr>
        <w:pStyle w:val="BodyText"/>
        <w:spacing w:line="292" w:lineRule="auto" w:before="203"/>
        <w:ind w:right="472"/>
      </w:pPr>
      <w:r>
        <w:rPr>
          <w:color w:val="6E6158"/>
        </w:rPr>
        <w:t>Jake manages every stage of litigation, from early case assessment and legal strategy through</w:t>
      </w:r>
      <w:r>
        <w:rPr>
          <w:color w:val="6E6158"/>
          <w:spacing w:val="40"/>
        </w:rPr>
        <w:t> </w:t>
      </w:r>
      <w:r>
        <w:rPr>
          <w:color w:val="6E6158"/>
        </w:rPr>
        <w:t>discovery, motion practice, depositions, and trial preparation. He has extensive experience</w:t>
      </w:r>
      <w:r>
        <w:rPr>
          <w:color w:val="6E6158"/>
          <w:spacing w:val="40"/>
        </w:rPr>
        <w:t> </w:t>
      </w:r>
      <w:r>
        <w:rPr>
          <w:color w:val="6E6158"/>
        </w:rPr>
        <w:t>prosecuting and defending breach of contract claims, franchisor-franchisee disputes, and</w:t>
      </w:r>
      <w:r>
        <w:rPr>
          <w:color w:val="6E6158"/>
          <w:spacing w:val="40"/>
        </w:rPr>
        <w:t> </w:t>
      </w:r>
      <w:r>
        <w:rPr>
          <w:color w:val="6E6158"/>
        </w:rPr>
        <w:t>transactional litigation.</w:t>
      </w:r>
    </w:p>
    <w:p>
      <w:pPr>
        <w:pStyle w:val="BodyText"/>
        <w:spacing w:line="292" w:lineRule="auto" w:before="206"/>
        <w:ind w:right="472"/>
      </w:pPr>
      <w:r>
        <w:rPr>
          <w:color w:val="6E6158"/>
        </w:rPr>
        <w:t>Jake combines his engineering degree and STEM background with his experience in </w:t>
      </w:r>
      <w:hyperlink r:id="rId11">
        <w:r>
          <w:rPr>
            <w:color w:val="F5821F"/>
          </w:rPr>
          <w:t>intellectual</w:t>
        </w:r>
      </w:hyperlink>
      <w:r>
        <w:rPr>
          <w:color w:val="F5821F"/>
          <w:spacing w:val="40"/>
        </w:rPr>
        <w:t> </w:t>
      </w:r>
      <w:hyperlink r:id="rId11">
        <w:r>
          <w:rPr>
            <w:color w:val="F5821F"/>
          </w:rPr>
          <w:t>property</w:t>
        </w:r>
        <w:r>
          <w:rPr>
            <w:color w:val="F5821F"/>
            <w:spacing w:val="39"/>
          </w:rPr>
          <w:t> </w:t>
        </w:r>
        <w:r>
          <w:rPr>
            <w:color w:val="F5821F"/>
          </w:rPr>
          <w:t>litigation</w:t>
        </w:r>
      </w:hyperlink>
      <w:r>
        <w:rPr>
          <w:color w:val="6E6158"/>
        </w:rPr>
        <w:t>,</w:t>
      </w:r>
      <w:r>
        <w:rPr>
          <w:color w:val="6E6158"/>
          <w:spacing w:val="39"/>
        </w:rPr>
        <w:t> </w:t>
      </w:r>
      <w:r>
        <w:rPr>
          <w:color w:val="6E6158"/>
        </w:rPr>
        <w:t>including</w:t>
      </w:r>
      <w:r>
        <w:rPr>
          <w:color w:val="6E6158"/>
          <w:spacing w:val="39"/>
        </w:rPr>
        <w:t> </w:t>
      </w:r>
      <w:r>
        <w:rPr>
          <w:color w:val="6E6158"/>
        </w:rPr>
        <w:t>patent</w:t>
      </w:r>
      <w:r>
        <w:rPr>
          <w:color w:val="6E6158"/>
          <w:spacing w:val="39"/>
        </w:rPr>
        <w:t> </w:t>
      </w:r>
      <w:r>
        <w:rPr>
          <w:color w:val="6E6158"/>
        </w:rPr>
        <w:t>litigation,</w:t>
      </w:r>
      <w:r>
        <w:rPr>
          <w:color w:val="6E6158"/>
          <w:spacing w:val="39"/>
        </w:rPr>
        <w:t> </w:t>
      </w:r>
      <w:r>
        <w:rPr>
          <w:color w:val="6E6158"/>
        </w:rPr>
        <w:t>trademark,</w:t>
      </w:r>
      <w:r>
        <w:rPr>
          <w:color w:val="6E6158"/>
          <w:spacing w:val="39"/>
        </w:rPr>
        <w:t> </w:t>
      </w:r>
      <w:r>
        <w:rPr>
          <w:color w:val="6E6158"/>
        </w:rPr>
        <w:t>copyright,</w:t>
      </w:r>
      <w:r>
        <w:rPr>
          <w:color w:val="6E6158"/>
          <w:spacing w:val="39"/>
        </w:rPr>
        <w:t> </w:t>
      </w:r>
      <w:r>
        <w:rPr>
          <w:color w:val="6E6158"/>
        </w:rPr>
        <w:t>and</w:t>
      </w:r>
      <w:r>
        <w:rPr>
          <w:color w:val="6E6158"/>
          <w:spacing w:val="39"/>
        </w:rPr>
        <w:t> </w:t>
      </w:r>
      <w:r>
        <w:rPr>
          <w:color w:val="6E6158"/>
        </w:rPr>
        <w:t>trade</w:t>
      </w:r>
      <w:r>
        <w:rPr>
          <w:color w:val="6E6158"/>
          <w:spacing w:val="39"/>
        </w:rPr>
        <w:t> </w:t>
      </w:r>
      <w:r>
        <w:rPr>
          <w:color w:val="6E6158"/>
        </w:rPr>
        <w:t>secret</w:t>
      </w:r>
      <w:r>
        <w:rPr>
          <w:color w:val="6E6158"/>
          <w:spacing w:val="39"/>
        </w:rPr>
        <w:t> </w:t>
      </w:r>
      <w:r>
        <w:rPr>
          <w:color w:val="6E6158"/>
        </w:rPr>
        <w:t>matters.</w:t>
      </w:r>
    </w:p>
    <w:p>
      <w:pPr>
        <w:pStyle w:val="BodyText"/>
        <w:spacing w:line="295" w:lineRule="auto" w:before="1"/>
        <w:ind w:right="472"/>
      </w:pPr>
      <w:r>
        <w:rPr>
          <w:color w:val="6E6158"/>
        </w:rPr>
        <w:t>This combination gives him a deep understanding of the technical and legal issues involved </w:t>
      </w:r>
      <w:r>
        <w:rPr>
          <w:color w:val="6E6158"/>
        </w:rPr>
        <w:t>in</w:t>
      </w:r>
      <w:r>
        <w:rPr>
          <w:color w:val="6E6158"/>
          <w:spacing w:val="40"/>
        </w:rPr>
        <w:t> </w:t>
      </w:r>
      <w:r>
        <w:rPr>
          <w:color w:val="6E6158"/>
        </w:rPr>
        <w:t>protecting innovation and intellectual property. Clients value his thoughtful, detail-oriented</w:t>
      </w:r>
      <w:r>
        <w:rPr>
          <w:color w:val="6E6158"/>
          <w:spacing w:val="40"/>
        </w:rPr>
        <w:t> </w:t>
      </w:r>
      <w:r>
        <w:rPr>
          <w:color w:val="6E6158"/>
        </w:rPr>
        <w:t>approach to developing litigation strategies that align with their business objectives while</w:t>
      </w:r>
      <w:r>
        <w:rPr>
          <w:color w:val="6E6158"/>
          <w:spacing w:val="40"/>
        </w:rPr>
        <w:t> </w:t>
      </w:r>
      <w:r>
        <w:rPr>
          <w:color w:val="6E6158"/>
        </w:rPr>
        <w:t>positioning matters for efficient and favorable resolution.</w:t>
      </w:r>
    </w:p>
    <w:p>
      <w:pPr>
        <w:pStyle w:val="BodyText"/>
        <w:spacing w:line="297" w:lineRule="auto" w:before="197"/>
        <w:ind w:right="472"/>
      </w:pPr>
      <w:r>
        <w:rPr>
          <w:color w:val="6E6158"/>
        </w:rPr>
        <w:t>Prior to joining Fennemore, Jake served as a judicial extern to Chief Judge Algenon L. Marbley of</w:t>
      </w:r>
      <w:r>
        <w:rPr>
          <w:color w:val="6E6158"/>
          <w:spacing w:val="40"/>
        </w:rPr>
        <w:t> </w:t>
      </w:r>
      <w:r>
        <w:rPr>
          <w:color w:val="6E6158"/>
        </w:rPr>
        <w:t>the U.S. District Court for the Southern District of Ohio. During his externship, he assisted with</w:t>
      </w:r>
      <w:r>
        <w:rPr>
          <w:color w:val="6E6158"/>
          <w:spacing w:val="40"/>
        </w:rPr>
        <w:t> </w:t>
      </w:r>
      <w:r>
        <w:rPr>
          <w:color w:val="6E6158"/>
        </w:rPr>
        <w:t>preparing</w:t>
      </w:r>
      <w:r>
        <w:rPr>
          <w:color w:val="6E6158"/>
          <w:spacing w:val="31"/>
        </w:rPr>
        <w:t> </w:t>
      </w:r>
      <w:r>
        <w:rPr>
          <w:color w:val="6E6158"/>
        </w:rPr>
        <w:t>judicial</w:t>
      </w:r>
      <w:r>
        <w:rPr>
          <w:color w:val="6E6158"/>
          <w:spacing w:val="31"/>
        </w:rPr>
        <w:t> </w:t>
      </w:r>
      <w:r>
        <w:rPr>
          <w:color w:val="6E6158"/>
        </w:rPr>
        <w:t>orders</w:t>
      </w:r>
      <w:r>
        <w:rPr>
          <w:color w:val="6E6158"/>
          <w:spacing w:val="31"/>
        </w:rPr>
        <w:t> </w:t>
      </w:r>
      <w:r>
        <w:rPr>
          <w:color w:val="6E6158"/>
        </w:rPr>
        <w:t>involving</w:t>
      </w:r>
      <w:r>
        <w:rPr>
          <w:color w:val="6E6158"/>
          <w:spacing w:val="31"/>
        </w:rPr>
        <w:t> </w:t>
      </w:r>
      <w:r>
        <w:rPr>
          <w:color w:val="6E6158"/>
        </w:rPr>
        <w:t>a</w:t>
      </w:r>
      <w:r>
        <w:rPr>
          <w:color w:val="6E6158"/>
          <w:spacing w:val="31"/>
        </w:rPr>
        <w:t> </w:t>
      </w:r>
      <w:r>
        <w:rPr>
          <w:color w:val="6E6158"/>
        </w:rPr>
        <w:t>variety</w:t>
      </w:r>
      <w:r>
        <w:rPr>
          <w:color w:val="6E6158"/>
          <w:spacing w:val="31"/>
        </w:rPr>
        <w:t> </w:t>
      </w:r>
      <w:r>
        <w:rPr>
          <w:color w:val="6E6158"/>
        </w:rPr>
        <w:t>of</w:t>
      </w:r>
      <w:r>
        <w:rPr>
          <w:color w:val="6E6158"/>
          <w:spacing w:val="31"/>
        </w:rPr>
        <w:t> </w:t>
      </w:r>
      <w:r>
        <w:rPr>
          <w:color w:val="6E6158"/>
        </w:rPr>
        <w:t>legal</w:t>
      </w:r>
      <w:r>
        <w:rPr>
          <w:color w:val="6E6158"/>
          <w:spacing w:val="31"/>
        </w:rPr>
        <w:t> </w:t>
      </w:r>
      <w:r>
        <w:rPr>
          <w:color w:val="6E6158"/>
        </w:rPr>
        <w:t>issues,</w:t>
      </w:r>
      <w:r>
        <w:rPr>
          <w:color w:val="6E6158"/>
          <w:spacing w:val="31"/>
        </w:rPr>
        <w:t> </w:t>
      </w:r>
      <w:r>
        <w:rPr>
          <w:color w:val="6E6158"/>
        </w:rPr>
        <w:t>including</w:t>
      </w:r>
      <w:r>
        <w:rPr>
          <w:color w:val="6E6158"/>
          <w:spacing w:val="31"/>
        </w:rPr>
        <w:t> </w:t>
      </w:r>
      <w:r>
        <w:rPr>
          <w:color w:val="6E6158"/>
        </w:rPr>
        <w:t>patent</w:t>
      </w:r>
      <w:r>
        <w:rPr>
          <w:color w:val="6E6158"/>
          <w:spacing w:val="31"/>
        </w:rPr>
        <w:t> </w:t>
      </w:r>
      <w:r>
        <w:rPr>
          <w:color w:val="6E6158"/>
        </w:rPr>
        <w:t>and</w:t>
      </w:r>
      <w:r>
        <w:rPr>
          <w:color w:val="6E6158"/>
          <w:spacing w:val="31"/>
        </w:rPr>
        <w:t> </w:t>
      </w:r>
      <w:r>
        <w:rPr>
          <w:color w:val="6E6158"/>
        </w:rPr>
        <w:t>trademark</w:t>
      </w:r>
    </w:p>
    <w:p>
      <w:pPr>
        <w:pStyle w:val="BodyText"/>
        <w:spacing w:line="229" w:lineRule="exact"/>
      </w:pPr>
      <w:r>
        <w:rPr>
          <w:color w:val="6E6158"/>
        </w:rPr>
        <w:t>litigation,</w:t>
      </w:r>
      <w:r>
        <w:rPr>
          <w:color w:val="6E6158"/>
          <w:spacing w:val="14"/>
        </w:rPr>
        <w:t> </w:t>
      </w:r>
      <w:r>
        <w:rPr>
          <w:color w:val="6E6158"/>
        </w:rPr>
        <w:t>giving</w:t>
      </w:r>
      <w:r>
        <w:rPr>
          <w:color w:val="6E6158"/>
          <w:spacing w:val="15"/>
        </w:rPr>
        <w:t> </w:t>
      </w:r>
      <w:r>
        <w:rPr>
          <w:color w:val="6E6158"/>
        </w:rPr>
        <w:t>him</w:t>
      </w:r>
      <w:r>
        <w:rPr>
          <w:color w:val="6E6158"/>
          <w:spacing w:val="14"/>
        </w:rPr>
        <w:t> </w:t>
      </w:r>
      <w:r>
        <w:rPr>
          <w:color w:val="6E6158"/>
        </w:rPr>
        <w:t>valuable</w:t>
      </w:r>
      <w:r>
        <w:rPr>
          <w:color w:val="6E6158"/>
          <w:spacing w:val="15"/>
        </w:rPr>
        <w:t> </w:t>
      </w:r>
      <w:r>
        <w:rPr>
          <w:color w:val="6E6158"/>
        </w:rPr>
        <w:t>insight</w:t>
      </w:r>
      <w:r>
        <w:rPr>
          <w:color w:val="6E6158"/>
          <w:spacing w:val="15"/>
        </w:rPr>
        <w:t> </w:t>
      </w:r>
      <w:r>
        <w:rPr>
          <w:color w:val="6E6158"/>
        </w:rPr>
        <w:t>into</w:t>
      </w:r>
      <w:r>
        <w:rPr>
          <w:color w:val="6E6158"/>
          <w:spacing w:val="14"/>
        </w:rPr>
        <w:t> </w:t>
      </w:r>
      <w:r>
        <w:rPr>
          <w:color w:val="6E6158"/>
        </w:rPr>
        <w:t>judicial</w:t>
      </w:r>
      <w:r>
        <w:rPr>
          <w:color w:val="6E6158"/>
          <w:spacing w:val="15"/>
        </w:rPr>
        <w:t> </w:t>
      </w:r>
      <w:r>
        <w:rPr>
          <w:color w:val="6E6158"/>
        </w:rPr>
        <w:t>decision-making</w:t>
      </w:r>
      <w:r>
        <w:rPr>
          <w:color w:val="6E6158"/>
          <w:spacing w:val="14"/>
        </w:rPr>
        <w:t> </w:t>
      </w:r>
      <w:r>
        <w:rPr>
          <w:color w:val="6E6158"/>
        </w:rPr>
        <w:t>and</w:t>
      </w:r>
      <w:r>
        <w:rPr>
          <w:color w:val="6E6158"/>
          <w:spacing w:val="15"/>
        </w:rPr>
        <w:t> </w:t>
      </w:r>
      <w:r>
        <w:rPr>
          <w:color w:val="6E6158"/>
        </w:rPr>
        <w:t>effective</w:t>
      </w:r>
      <w:r>
        <w:rPr>
          <w:color w:val="6E6158"/>
          <w:spacing w:val="15"/>
        </w:rPr>
        <w:t> </w:t>
      </w:r>
      <w:r>
        <w:rPr>
          <w:color w:val="6E6158"/>
          <w:spacing w:val="-2"/>
        </w:rPr>
        <w:t>advocacy.</w:t>
      </w:r>
    </w:p>
    <w:p>
      <w:pPr>
        <w:pStyle w:val="Heading1"/>
        <w:spacing w:before="213"/>
      </w:pPr>
      <w:r>
        <w:rPr>
          <w:color w:val="FF8100"/>
          <w:spacing w:val="-2"/>
        </w:rPr>
        <w:t>EDUCATION</w:t>
      </w:r>
    </w:p>
    <w:p>
      <w:pPr>
        <w:pStyle w:val="BodyText"/>
        <w:spacing w:before="27"/>
        <w:ind w:left="0"/>
        <w:rPr>
          <w:b/>
        </w:rPr>
      </w:pPr>
    </w:p>
    <w:p>
      <w:pPr>
        <w:pStyle w:val="BodyText"/>
        <w:spacing w:line="403" w:lineRule="auto"/>
        <w:ind w:left="343" w:right="5458" w:hanging="245"/>
      </w:pPr>
      <w:r>
        <w:rPr>
          <w:color w:val="6E6158"/>
        </w:rPr>
        <w:t>J.D., Santa Clara University School of </w:t>
      </w:r>
      <w:r>
        <w:rPr>
          <w:color w:val="6E6158"/>
        </w:rPr>
        <w:t>Law</w:t>
      </w:r>
      <w:r>
        <w:rPr>
          <w:color w:val="6E6158"/>
        </w:rPr>
        <w:t> High Tech Law Certificate</w:t>
      </w:r>
    </w:p>
    <w:p>
      <w:pPr>
        <w:pStyle w:val="BodyText"/>
        <w:spacing w:before="15"/>
        <w:ind w:left="343"/>
      </w:pPr>
      <w:r>
        <w:rPr>
          <w:color w:val="6E6158"/>
        </w:rPr>
        <w:t>Associate</w:t>
      </w:r>
      <w:r>
        <w:rPr>
          <w:color w:val="6E6158"/>
          <w:spacing w:val="11"/>
        </w:rPr>
        <w:t> </w:t>
      </w:r>
      <w:r>
        <w:rPr>
          <w:color w:val="6E6158"/>
        </w:rPr>
        <w:t>Development</w:t>
      </w:r>
      <w:r>
        <w:rPr>
          <w:color w:val="6E6158"/>
          <w:spacing w:val="11"/>
        </w:rPr>
        <w:t> </w:t>
      </w:r>
      <w:r>
        <w:rPr>
          <w:color w:val="6E6158"/>
        </w:rPr>
        <w:t>Editor,</w:t>
      </w:r>
      <w:r>
        <w:rPr>
          <w:color w:val="6E6158"/>
          <w:spacing w:val="11"/>
        </w:rPr>
        <w:t> </w:t>
      </w:r>
      <w:r>
        <w:rPr>
          <w:color w:val="6E6158"/>
        </w:rPr>
        <w:t>High</w:t>
      </w:r>
      <w:r>
        <w:rPr>
          <w:color w:val="6E6158"/>
          <w:spacing w:val="11"/>
        </w:rPr>
        <w:t> </w:t>
      </w:r>
      <w:r>
        <w:rPr>
          <w:color w:val="6E6158"/>
        </w:rPr>
        <w:t>Technology</w:t>
      </w:r>
      <w:r>
        <w:rPr>
          <w:color w:val="6E6158"/>
          <w:spacing w:val="11"/>
        </w:rPr>
        <w:t> </w:t>
      </w:r>
      <w:r>
        <w:rPr>
          <w:color w:val="6E6158"/>
        </w:rPr>
        <w:t>Law</w:t>
      </w:r>
      <w:r>
        <w:rPr>
          <w:color w:val="6E6158"/>
          <w:spacing w:val="11"/>
        </w:rPr>
        <w:t> </w:t>
      </w:r>
      <w:r>
        <w:rPr>
          <w:color w:val="6E6158"/>
          <w:spacing w:val="-2"/>
        </w:rPr>
        <w:t>Journal</w:t>
      </w:r>
    </w:p>
    <w:p>
      <w:pPr>
        <w:pStyle w:val="BodyText"/>
        <w:spacing w:line="420" w:lineRule="auto" w:before="174"/>
        <w:ind w:left="343" w:right="2597"/>
      </w:pPr>
      <w:r>
        <w:rPr>
          <w:color w:val="6E6158"/>
        </w:rPr>
        <w:t>AIPLA Giles Sutherland Rich Memorial Patent Moot Court </w:t>
      </w:r>
      <w:r>
        <w:rPr>
          <w:color w:val="6E6158"/>
        </w:rPr>
        <w:t>Competition INTA Saul Lefkowitz Trademark Moot Court Competition</w:t>
      </w:r>
    </w:p>
    <w:p>
      <w:pPr>
        <w:pStyle w:val="BodyText"/>
        <w:spacing w:before="7"/>
      </w:pPr>
      <w:r>
        <w:rPr>
          <w:color w:val="6E6158"/>
        </w:rPr>
        <w:t>B.S.,</w:t>
      </w:r>
      <w:r>
        <w:rPr>
          <w:color w:val="6E6158"/>
          <w:spacing w:val="9"/>
        </w:rPr>
        <w:t> </w:t>
      </w:r>
      <w:r>
        <w:rPr>
          <w:color w:val="6E6158"/>
        </w:rPr>
        <w:t>The</w:t>
      </w:r>
      <w:r>
        <w:rPr>
          <w:color w:val="6E6158"/>
          <w:spacing w:val="9"/>
        </w:rPr>
        <w:t> </w:t>
      </w:r>
      <w:r>
        <w:rPr>
          <w:color w:val="6E6158"/>
        </w:rPr>
        <w:t>Ohio</w:t>
      </w:r>
      <w:r>
        <w:rPr>
          <w:color w:val="6E6158"/>
          <w:spacing w:val="9"/>
        </w:rPr>
        <w:t> </w:t>
      </w:r>
      <w:r>
        <w:rPr>
          <w:color w:val="6E6158"/>
        </w:rPr>
        <w:t>State</w:t>
      </w:r>
      <w:r>
        <w:rPr>
          <w:color w:val="6E6158"/>
          <w:spacing w:val="9"/>
        </w:rPr>
        <w:t> </w:t>
      </w:r>
      <w:r>
        <w:rPr>
          <w:color w:val="6E6158"/>
          <w:spacing w:val="-2"/>
        </w:rPr>
        <w:t>University</w:t>
      </w:r>
    </w:p>
    <w:p>
      <w:pPr>
        <w:pStyle w:val="BodyText"/>
        <w:spacing w:after="0"/>
        <w:sectPr>
          <w:type w:val="continuous"/>
          <w:pgSz w:w="12240" w:h="15840"/>
          <w:pgMar w:top="560" w:bottom="280" w:left="1440" w:right="1080"/>
        </w:sectPr>
      </w:pPr>
    </w:p>
    <w:p>
      <w:pPr>
        <w:pStyle w:val="BodyText"/>
        <w:spacing w:before="83"/>
        <w:ind w:left="343"/>
      </w:pPr>
      <w:r>
        <w:rPr>
          <w:color w:val="6E6158"/>
        </w:rPr>
        <w:t>Double</w:t>
      </w:r>
      <w:r>
        <w:rPr>
          <w:color w:val="6E6158"/>
          <w:spacing w:val="14"/>
        </w:rPr>
        <w:t> </w:t>
      </w:r>
      <w:r>
        <w:rPr>
          <w:color w:val="6E6158"/>
        </w:rPr>
        <w:t>Majored</w:t>
      </w:r>
      <w:r>
        <w:rPr>
          <w:color w:val="6E6158"/>
          <w:spacing w:val="14"/>
        </w:rPr>
        <w:t> </w:t>
      </w:r>
      <w:r>
        <w:rPr>
          <w:color w:val="6E6158"/>
        </w:rPr>
        <w:t>in</w:t>
      </w:r>
      <w:r>
        <w:rPr>
          <w:color w:val="6E6158"/>
          <w:spacing w:val="14"/>
        </w:rPr>
        <w:t> </w:t>
      </w:r>
      <w:r>
        <w:rPr>
          <w:color w:val="6E6158"/>
        </w:rPr>
        <w:t>Chemical</w:t>
      </w:r>
      <w:r>
        <w:rPr>
          <w:color w:val="6E6158"/>
          <w:spacing w:val="14"/>
        </w:rPr>
        <w:t> </w:t>
      </w:r>
      <w:r>
        <w:rPr>
          <w:color w:val="6E6158"/>
        </w:rPr>
        <w:t>Engineering</w:t>
      </w:r>
      <w:r>
        <w:rPr>
          <w:color w:val="6E6158"/>
          <w:spacing w:val="14"/>
        </w:rPr>
        <w:t> </w:t>
      </w:r>
      <w:r>
        <w:rPr>
          <w:color w:val="6E6158"/>
        </w:rPr>
        <w:t>and</w:t>
      </w:r>
      <w:r>
        <w:rPr>
          <w:color w:val="6E6158"/>
          <w:spacing w:val="14"/>
        </w:rPr>
        <w:t> </w:t>
      </w:r>
      <w:r>
        <w:rPr>
          <w:color w:val="6E6158"/>
          <w:spacing w:val="-2"/>
        </w:rPr>
        <w:t>Economics</w:t>
      </w:r>
    </w:p>
    <w:p>
      <w:pPr>
        <w:pStyle w:val="BodyText"/>
        <w:spacing w:before="163"/>
        <w:ind w:left="0"/>
        <w:rPr>
          <w:sz w:val="24"/>
        </w:rPr>
      </w:pPr>
    </w:p>
    <w:p>
      <w:pPr>
        <w:pStyle w:val="Heading1"/>
      </w:pPr>
      <w:r>
        <w:rPr>
          <w:color w:val="FF8100"/>
        </w:rPr>
        <w:t>REPRESENTATIVE</w:t>
      </w:r>
      <w:r>
        <w:rPr>
          <w:color w:val="FF8100"/>
          <w:spacing w:val="19"/>
        </w:rPr>
        <w:t> </w:t>
      </w:r>
      <w:r>
        <w:rPr>
          <w:color w:val="FF8100"/>
          <w:spacing w:val="-2"/>
        </w:rPr>
        <w:t>MATTERS</w:t>
      </w:r>
    </w:p>
    <w:p>
      <w:pPr>
        <w:pStyle w:val="BodyText"/>
        <w:spacing w:before="28"/>
        <w:ind w:left="0"/>
        <w:rPr>
          <w:b/>
        </w:rPr>
      </w:pPr>
    </w:p>
    <w:p>
      <w:pPr>
        <w:pStyle w:val="BodyText"/>
        <w:spacing w:line="297" w:lineRule="auto"/>
        <w:ind w:right="727"/>
      </w:pPr>
      <w:r>
        <w:rPr>
          <w:color w:val="6E6158"/>
        </w:rPr>
        <w:t>Secured early dismissals of multimillion-dollar commercial fraud lawsuits against a Fortune 500</w:t>
      </w:r>
      <w:r>
        <w:rPr>
          <w:color w:val="6E6158"/>
          <w:spacing w:val="40"/>
        </w:rPr>
        <w:t> </w:t>
      </w:r>
      <w:r>
        <w:rPr>
          <w:color w:val="6E6158"/>
        </w:rPr>
        <w:t>company arising from the manufacture, marketing, and sale of products; eliminating the </w:t>
      </w:r>
      <w:r>
        <w:rPr>
          <w:color w:val="6E6158"/>
        </w:rPr>
        <w:t>client’s</w:t>
      </w:r>
      <w:r>
        <w:rPr>
          <w:color w:val="6E6158"/>
          <w:spacing w:val="40"/>
        </w:rPr>
        <w:t> </w:t>
      </w:r>
      <w:r>
        <w:rPr>
          <w:color w:val="6E6158"/>
        </w:rPr>
        <w:t>exposure to financial and litigation risk.</w:t>
      </w:r>
    </w:p>
    <w:p>
      <w:pPr>
        <w:pStyle w:val="BodyText"/>
        <w:spacing w:line="297" w:lineRule="auto" w:before="118"/>
        <w:ind w:right="727"/>
      </w:pPr>
      <w:r>
        <w:rPr>
          <w:color w:val="6E6158"/>
        </w:rPr>
        <w:t>Successfully defeated a motion for summary judgment in a defamation lawsuit involving</w:t>
      </w:r>
      <w:r>
        <w:rPr>
          <w:color w:val="6E6158"/>
          <w:spacing w:val="40"/>
        </w:rPr>
        <w:t> </w:t>
      </w:r>
      <w:r>
        <w:rPr>
          <w:color w:val="6E6158"/>
        </w:rPr>
        <w:t>allegations of investment fraud, insider trading, and financial misconduct, positioning the </w:t>
      </w:r>
      <w:r>
        <w:rPr>
          <w:color w:val="6E6158"/>
        </w:rPr>
        <w:t>case</w:t>
      </w:r>
      <w:r>
        <w:rPr>
          <w:color w:val="6E6158"/>
          <w:spacing w:val="40"/>
        </w:rPr>
        <w:t> </w:t>
      </w:r>
      <w:r>
        <w:rPr>
          <w:color w:val="6E6158"/>
        </w:rPr>
        <w:t>for a favorable resolution on behalf of the client.</w:t>
      </w:r>
    </w:p>
    <w:p>
      <w:pPr>
        <w:pStyle w:val="BodyText"/>
        <w:spacing w:before="107"/>
        <w:ind w:left="0"/>
        <w:rPr>
          <w:sz w:val="24"/>
        </w:rPr>
      </w:pPr>
    </w:p>
    <w:p>
      <w:pPr>
        <w:pStyle w:val="Heading1"/>
      </w:pPr>
      <w:r>
        <w:rPr>
          <w:color w:val="FF8100"/>
        </w:rPr>
        <w:t>AREAS</w:t>
      </w:r>
      <w:r>
        <w:rPr>
          <w:color w:val="FF8100"/>
          <w:spacing w:val="6"/>
        </w:rPr>
        <w:t> </w:t>
      </w:r>
      <w:r>
        <w:rPr>
          <w:color w:val="FF8100"/>
        </w:rPr>
        <w:t>OF</w:t>
      </w:r>
      <w:r>
        <w:rPr>
          <w:color w:val="FF8100"/>
          <w:spacing w:val="6"/>
        </w:rPr>
        <w:t> </w:t>
      </w:r>
      <w:r>
        <w:rPr>
          <w:color w:val="FF8100"/>
          <w:spacing w:val="-2"/>
        </w:rPr>
        <w:t>PRACTICE</w:t>
      </w:r>
    </w:p>
    <w:p>
      <w:pPr>
        <w:pStyle w:val="BodyText"/>
        <w:spacing w:before="28"/>
        <w:ind w:left="0"/>
        <w:rPr>
          <w:b/>
        </w:rPr>
      </w:pPr>
    </w:p>
    <w:p>
      <w:pPr>
        <w:pStyle w:val="BodyText"/>
        <w:spacing w:line="422" w:lineRule="auto"/>
        <w:ind w:right="7077"/>
      </w:pPr>
      <w:r>
        <w:rPr>
          <w:color w:val="6E6158"/>
        </w:rPr>
        <w:t>Business Litigation Intellectual </w:t>
      </w:r>
      <w:r>
        <w:rPr>
          <w:color w:val="6E6158"/>
        </w:rPr>
        <w:t>Property Business &amp; Finance</w:t>
      </w:r>
    </w:p>
    <w:p>
      <w:pPr>
        <w:pStyle w:val="BodyText"/>
        <w:spacing w:line="232" w:lineRule="exact"/>
      </w:pPr>
      <w:r>
        <w:rPr>
          <w:color w:val="6E6158"/>
        </w:rPr>
        <w:t>Government</w:t>
      </w:r>
      <w:r>
        <w:rPr>
          <w:color w:val="6E6158"/>
          <w:spacing w:val="16"/>
        </w:rPr>
        <w:t> </w:t>
      </w:r>
      <w:r>
        <w:rPr>
          <w:color w:val="6E6158"/>
        </w:rPr>
        <w:t>Relations</w:t>
      </w:r>
      <w:r>
        <w:rPr>
          <w:color w:val="6E6158"/>
          <w:spacing w:val="17"/>
        </w:rPr>
        <w:t> </w:t>
      </w:r>
      <w:r>
        <w:rPr>
          <w:color w:val="6E6158"/>
        </w:rPr>
        <w:t>&amp;</w:t>
      </w:r>
      <w:r>
        <w:rPr>
          <w:color w:val="6E6158"/>
          <w:spacing w:val="16"/>
        </w:rPr>
        <w:t> </w:t>
      </w:r>
      <w:r>
        <w:rPr>
          <w:color w:val="6E6158"/>
          <w:spacing w:val="-2"/>
        </w:rPr>
        <w:t>Regulatory</w:t>
      </w:r>
    </w:p>
    <w:p>
      <w:pPr>
        <w:pStyle w:val="BodyText"/>
        <w:spacing w:before="163"/>
        <w:ind w:left="0"/>
        <w:rPr>
          <w:sz w:val="24"/>
        </w:rPr>
      </w:pPr>
    </w:p>
    <w:p>
      <w:pPr>
        <w:pStyle w:val="Heading1"/>
      </w:pPr>
      <w:r>
        <w:rPr>
          <w:color w:val="FF8100"/>
        </w:rPr>
        <w:t>AWARDS</w:t>
      </w:r>
      <w:r>
        <w:rPr>
          <w:color w:val="FF8100"/>
          <w:spacing w:val="8"/>
        </w:rPr>
        <w:t> </w:t>
      </w:r>
      <w:r>
        <w:rPr>
          <w:color w:val="FF8100"/>
        </w:rPr>
        <w:t>AND</w:t>
      </w:r>
      <w:r>
        <w:rPr>
          <w:color w:val="FF8100"/>
          <w:spacing w:val="9"/>
        </w:rPr>
        <w:t> </w:t>
      </w:r>
      <w:r>
        <w:rPr>
          <w:color w:val="FF8100"/>
          <w:spacing w:val="-2"/>
        </w:rPr>
        <w:t>HONORS</w:t>
      </w:r>
    </w:p>
    <w:p>
      <w:pPr>
        <w:pStyle w:val="BodyText"/>
        <w:spacing w:before="27"/>
        <w:ind w:left="0"/>
        <w:rPr>
          <w:b/>
        </w:rPr>
      </w:pPr>
    </w:p>
    <w:p>
      <w:pPr>
        <w:pStyle w:val="BodyText"/>
        <w:spacing w:line="420" w:lineRule="auto"/>
        <w:ind w:right="3468"/>
      </w:pPr>
      <w:r>
        <w:rPr>
          <w:color w:val="6E6158"/>
        </w:rPr>
        <w:t>Recipient of the Santa Clara School of Law Dean’s </w:t>
      </w:r>
      <w:r>
        <w:rPr>
          <w:color w:val="6E6158"/>
        </w:rPr>
        <w:t>Fellowship Witkin Award for Academic Excellence – Constitutional Law I</w:t>
      </w:r>
    </w:p>
    <w:p>
      <w:pPr>
        <w:pStyle w:val="Heading1"/>
        <w:spacing w:before="290"/>
      </w:pPr>
      <w:r>
        <w:rPr>
          <w:color w:val="FF8100"/>
        </w:rPr>
        <w:t>ARTICLES</w:t>
      </w:r>
      <w:r>
        <w:rPr>
          <w:color w:val="FF8100"/>
          <w:spacing w:val="8"/>
        </w:rPr>
        <w:t> </w:t>
      </w:r>
      <w:r>
        <w:rPr>
          <w:color w:val="FF8100"/>
        </w:rPr>
        <w:t>AND</w:t>
      </w:r>
      <w:r>
        <w:rPr>
          <w:color w:val="FF8100"/>
          <w:spacing w:val="9"/>
        </w:rPr>
        <w:t> </w:t>
      </w:r>
      <w:r>
        <w:rPr>
          <w:color w:val="FF8100"/>
          <w:spacing w:val="-2"/>
        </w:rPr>
        <w:t>PRESENTATIONS</w:t>
      </w:r>
    </w:p>
    <w:p>
      <w:pPr>
        <w:pStyle w:val="BodyText"/>
        <w:spacing w:before="28"/>
        <w:ind w:left="0"/>
        <w:rPr>
          <w:b/>
        </w:rPr>
      </w:pPr>
    </w:p>
    <w:p>
      <w:pPr>
        <w:pStyle w:val="BodyText"/>
        <w:spacing w:line="292" w:lineRule="auto"/>
        <w:ind w:right="472"/>
      </w:pPr>
      <w:r>
        <w:rPr>
          <w:color w:val="6E6158"/>
        </w:rPr>
        <w:t>Author, “</w:t>
      </w:r>
      <w:hyperlink r:id="rId12">
        <w:r>
          <w:rPr>
            <w:color w:val="F5821F"/>
          </w:rPr>
          <w:t>Auris Health, Inc. V. Intuitive Surgical Operations: A New “Rigid Rule” for Patent</w:t>
        </w:r>
      </w:hyperlink>
      <w:r>
        <w:rPr>
          <w:color w:val="F5821F"/>
        </w:rPr>
        <w:t> </w:t>
      </w:r>
      <w:hyperlink r:id="rId12">
        <w:r>
          <w:rPr>
            <w:color w:val="F5821F"/>
          </w:rPr>
          <w:t>Obviousness</w:t>
        </w:r>
      </w:hyperlink>
      <w:r>
        <w:rPr>
          <w:color w:val="6E6158"/>
        </w:rPr>
        <w:t>,” Santa Clara High Technology Law Journal, August 8, 2022</w:t>
      </w:r>
    </w:p>
    <w:p>
      <w:pPr>
        <w:pStyle w:val="BodyText"/>
        <w:spacing w:before="112"/>
        <w:ind w:left="0"/>
        <w:rPr>
          <w:sz w:val="24"/>
        </w:rPr>
      </w:pPr>
    </w:p>
    <w:p>
      <w:pPr>
        <w:pStyle w:val="Heading1"/>
      </w:pPr>
      <w:r>
        <w:rPr>
          <w:color w:val="FF8100"/>
          <w:spacing w:val="-2"/>
        </w:rPr>
        <w:t>ADMISSIONS</w:t>
      </w:r>
    </w:p>
    <w:p>
      <w:pPr>
        <w:pStyle w:val="BodyText"/>
        <w:spacing w:before="28"/>
        <w:ind w:left="0"/>
        <w:rPr>
          <w:b/>
        </w:rPr>
      </w:pPr>
    </w:p>
    <w:p>
      <w:pPr>
        <w:pStyle w:val="BodyText"/>
      </w:pPr>
      <w:r>
        <w:rPr>
          <w:color w:val="6E6158"/>
          <w:spacing w:val="-2"/>
        </w:rPr>
        <w:t>California</w:t>
      </w:r>
    </w:p>
    <w:p>
      <w:pPr>
        <w:pStyle w:val="BodyText"/>
        <w:spacing w:line="420" w:lineRule="auto" w:before="182"/>
        <w:ind w:right="3468"/>
      </w:pPr>
      <w:r>
        <w:rPr>
          <w:color w:val="6E6158"/>
        </w:rPr>
        <w:t>United States District Court for the Central District of California United States District Court for the Southern District of </w:t>
      </w:r>
      <w:r>
        <w:rPr>
          <w:color w:val="6E6158"/>
        </w:rPr>
        <w:t>California United States District Court for the Eastern District of California</w:t>
      </w:r>
    </w:p>
    <w:sectPr>
      <w:pgSz w:w="12240" w:h="15840"/>
      <w:pgMar w:top="500" w:bottom="280" w:left="1440" w:right="10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Century Gothic">
    <w:altName w:val="Century Gothic"/>
    <w:charset w:val="0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entury Gothic" w:hAnsi="Century Gothic" w:eastAsia="Century Gothic" w:cs="Century Gothic"/>
      <w:lang w:val="en-US" w:eastAsia="en-US" w:bidi="ar-SA"/>
    </w:rPr>
  </w:style>
  <w:style w:styleId="BodyText" w:type="paragraph">
    <w:name w:val="Body Text"/>
    <w:basedOn w:val="Normal"/>
    <w:uiPriority w:val="1"/>
    <w:qFormat/>
    <w:pPr>
      <w:ind w:left="99"/>
    </w:pPr>
    <w:rPr>
      <w:rFonts w:ascii="Century Gothic" w:hAnsi="Century Gothic" w:eastAsia="Century Gothic" w:cs="Century Gothic"/>
      <w:sz w:val="19"/>
      <w:szCs w:val="19"/>
      <w:lang w:val="en-US" w:eastAsia="en-US" w:bidi="ar-SA"/>
    </w:rPr>
  </w:style>
  <w:style w:styleId="Heading1" w:type="paragraph">
    <w:name w:val="Heading 1"/>
    <w:basedOn w:val="Normal"/>
    <w:uiPriority w:val="1"/>
    <w:qFormat/>
    <w:pPr>
      <w:ind w:left="99"/>
      <w:outlineLvl w:val="1"/>
    </w:pPr>
    <w:rPr>
      <w:rFonts w:ascii="Century Gothic" w:hAnsi="Century Gothic" w:eastAsia="Century Gothic" w:cs="Century Gothic"/>
      <w:b/>
      <w:bCs/>
      <w:sz w:val="24"/>
      <w:szCs w:val="24"/>
      <w:lang w:val="en-U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hyperlink" Target="https://www.fennemorelaw.com/" TargetMode="External"/><Relationship Id="rId7" Type="http://schemas.openxmlformats.org/officeDocument/2006/relationships/image" Target="media/image2.jpeg"/><Relationship Id="rId8" Type="http://schemas.openxmlformats.org/officeDocument/2006/relationships/hyperlink" Target="https://www.fennemorelaw.com/services/business-litigation/" TargetMode="External"/><Relationship Id="rId9" Type="http://schemas.openxmlformats.org/officeDocument/2006/relationships/hyperlink" Target="https://www.fennemorelaw.com/contact-us/oakland/" TargetMode="External"/><Relationship Id="rId10" Type="http://schemas.openxmlformats.org/officeDocument/2006/relationships/hyperlink" Target="mailto:jmoawad@fennemorelaw.com" TargetMode="External"/><Relationship Id="rId11" Type="http://schemas.openxmlformats.org/officeDocument/2006/relationships/hyperlink" Target="https://www.fennemorelaw.com/services/intellectual-property-and-ip-litigation/" TargetMode="External"/><Relationship Id="rId12" Type="http://schemas.openxmlformats.org/officeDocument/2006/relationships/hyperlink" Target="https://digitalcommons.law.scu.edu/chtlj/vol39/iss1/5/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Jake N. Moawad - Fennemore</dc:title>
  <dcterms:created xsi:type="dcterms:W3CDTF">2026-10-26T15:34:08Z</dcterms:created>
  <dcterms:modified xsi:type="dcterms:W3CDTF">2026-10-26T15:34:08Z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v10.0.20290.1</vt:lpwstr>
  </property>
  <property fmtid="{D5CDD505-2E9C-101B-9397-08002B2CF9AE}" pid="3" name="Created">
    <vt:filetime>2026-10-26T00:00:00Z</vt:filetime>
  </property>
  <property fmtid="{D5CDD505-2E9C-101B-9397-08002B2CF9AE}" pid="4" name="Creator">
    <vt:lpwstr>Mozilla/5.0 (X11; Linux x86_64) AppleWebKit/537.36 (KHTML, like Gecko) HeadlessChrome/156.0.0.0 Safari/537.36</vt:lpwstr>
  </property>
  <property fmtid="{D5CDD505-2E9C-101B-9397-08002B2CF9AE}" pid="5" name="LastSaved">
    <vt:filetime>2026-10-26T00:00:00Z</vt:filetime>
  </property>
  <property fmtid="{D5CDD505-2E9C-101B-9397-08002B2CF9AE}" pid="6" name="Producer">
    <vt:lpwstr>Skia/PDF m156</vt:lpwstr>
  </property>
</Properties>
</file>