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arry Caster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790" w:right="79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LAUREN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J.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CASTER</w:t>
                              </w:r>
                            </w:p>
                            <w:p>
                              <w:pPr>
                                <w:spacing w:before="48"/>
                                <w:ind w:left="790" w:right="79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790" w:right="79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Natural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Resources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90" w:right="79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602.916.5367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602.916.5567</w:t>
                              </w:r>
                            </w:p>
                            <w:p>
                              <w:pPr>
                                <w:spacing w:before="119"/>
                                <w:ind w:left="790" w:right="79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lcaster@fennemorelaw.com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Larry Caster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790" w:right="79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LAUREN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J.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CASTER</w:t>
                        </w:r>
                      </w:p>
                      <w:p>
                        <w:pPr>
                          <w:spacing w:before="48"/>
                          <w:ind w:left="790" w:right="79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790" w:right="79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Natural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Resources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790" w:right="79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602.916.5367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602.916.5567</w:t>
                        </w:r>
                      </w:p>
                      <w:p>
                        <w:pPr>
                          <w:spacing w:before="119"/>
                          <w:ind w:left="790" w:right="79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lcaster@fennemorelaw.com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3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LAUREN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z w:val="24"/>
        </w:rPr>
        <w:t>J.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CASTER</w:t>
      </w:r>
    </w:p>
    <w:p>
      <w:pPr>
        <w:pStyle w:val="BodyText"/>
        <w:spacing w:line="295" w:lineRule="auto" w:before="147"/>
        <w:ind w:right="562"/>
      </w:pPr>
      <w:r>
        <w:rPr>
          <w:color w:val="6E6158"/>
        </w:rPr>
        <w:t>Larry practices in the areas of water and environmental law as it relates to the exercise of water</w:t>
      </w:r>
      <w:r>
        <w:rPr>
          <w:color w:val="6E6158"/>
          <w:spacing w:val="40"/>
        </w:rPr>
        <w:t> </w:t>
      </w:r>
      <w:r>
        <w:rPr>
          <w:color w:val="6E6158"/>
        </w:rPr>
        <w:t>rights. He represents clients in both the </w:t>
      </w:r>
      <w:hyperlink r:id="rId11">
        <w:r>
          <w:rPr>
            <w:color w:val="FF8100"/>
          </w:rPr>
          <w:t>Gila River Adjudication</w:t>
        </w:r>
      </w:hyperlink>
      <w:r>
        <w:rPr>
          <w:color w:val="FF8100"/>
        </w:rPr>
        <w:t> </w:t>
      </w:r>
      <w:r>
        <w:rPr>
          <w:color w:val="6E6158"/>
        </w:rPr>
        <w:t>and the </w:t>
      </w:r>
      <w:hyperlink r:id="rId12">
        <w:r>
          <w:rPr>
            <w:color w:val="FF8100"/>
          </w:rPr>
          <w:t>Little Colorado River</w:t>
        </w:r>
      </w:hyperlink>
      <w:r>
        <w:rPr>
          <w:color w:val="FF8100"/>
          <w:spacing w:val="40"/>
        </w:rPr>
        <w:t> </w:t>
      </w:r>
      <w:hyperlink r:id="rId12">
        <w:r>
          <w:rPr>
            <w:color w:val="FF8100"/>
          </w:rPr>
          <w:t>Adjudication</w:t>
        </w:r>
      </w:hyperlink>
      <w:r>
        <w:rPr>
          <w:color w:val="FF8100"/>
        </w:rPr>
        <w:t> </w:t>
      </w:r>
      <w:r>
        <w:rPr>
          <w:color w:val="6E6158"/>
        </w:rPr>
        <w:t>pending in the state courts. He also represents water users in the Upper Gila River</w:t>
      </w:r>
      <w:r>
        <w:rPr>
          <w:color w:val="6E6158"/>
          <w:spacing w:val="40"/>
        </w:rPr>
        <w:t> </w:t>
      </w:r>
      <w:r>
        <w:rPr>
          <w:color w:val="6E6158"/>
        </w:rPr>
        <w:t>Valley</w:t>
      </w:r>
      <w:r>
        <w:rPr>
          <w:color w:val="6E6158"/>
          <w:spacing w:val="22"/>
        </w:rPr>
        <w:t> </w:t>
      </w:r>
      <w:r>
        <w:rPr>
          <w:color w:val="6E6158"/>
        </w:rPr>
        <w:t>in</w:t>
      </w:r>
      <w:r>
        <w:rPr>
          <w:color w:val="6E6158"/>
          <w:spacing w:val="22"/>
        </w:rPr>
        <w:t> </w:t>
      </w:r>
      <w:r>
        <w:rPr>
          <w:color w:val="6E6158"/>
        </w:rPr>
        <w:t>federal</w:t>
      </w:r>
      <w:r>
        <w:rPr>
          <w:color w:val="6E6158"/>
          <w:spacing w:val="22"/>
        </w:rPr>
        <w:t> </w:t>
      </w:r>
      <w:r>
        <w:rPr>
          <w:color w:val="6E6158"/>
        </w:rPr>
        <w:t>court</w:t>
      </w:r>
      <w:r>
        <w:rPr>
          <w:color w:val="6E6158"/>
          <w:spacing w:val="22"/>
        </w:rPr>
        <w:t> </w:t>
      </w:r>
      <w:r>
        <w:rPr>
          <w:color w:val="6E6158"/>
        </w:rPr>
        <w:t>litigation,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water</w:t>
      </w:r>
      <w:r>
        <w:rPr>
          <w:color w:val="6E6158"/>
          <w:spacing w:val="22"/>
        </w:rPr>
        <w:t> </w:t>
      </w:r>
      <w:r>
        <w:rPr>
          <w:color w:val="6E6158"/>
        </w:rPr>
        <w:t>users</w:t>
      </w:r>
      <w:r>
        <w:rPr>
          <w:color w:val="6E6158"/>
          <w:spacing w:val="22"/>
        </w:rPr>
        <w:t> </w:t>
      </w:r>
      <w:r>
        <w:rPr>
          <w:color w:val="6E6158"/>
        </w:rPr>
        <w:t>in</w:t>
      </w:r>
      <w:r>
        <w:rPr>
          <w:color w:val="6E6158"/>
          <w:spacing w:val="22"/>
        </w:rPr>
        <w:t> </w:t>
      </w:r>
      <w:r>
        <w:rPr>
          <w:color w:val="6E6158"/>
        </w:rPr>
        <w:t>the</w:t>
      </w:r>
      <w:r>
        <w:rPr>
          <w:color w:val="6E6158"/>
          <w:spacing w:val="22"/>
        </w:rPr>
        <w:t> </w:t>
      </w:r>
      <w:r>
        <w:rPr>
          <w:color w:val="6E6158"/>
        </w:rPr>
        <w:t>Agua</w:t>
      </w:r>
      <w:r>
        <w:rPr>
          <w:color w:val="6E6158"/>
          <w:spacing w:val="22"/>
        </w:rPr>
        <w:t> </w:t>
      </w:r>
      <w:r>
        <w:rPr>
          <w:color w:val="6E6158"/>
        </w:rPr>
        <w:t>Fria</w:t>
      </w:r>
      <w:r>
        <w:rPr>
          <w:color w:val="6E6158"/>
          <w:spacing w:val="22"/>
        </w:rPr>
        <w:t> </w:t>
      </w:r>
      <w:r>
        <w:rPr>
          <w:color w:val="6E6158"/>
        </w:rPr>
        <w:t>River</w:t>
      </w:r>
      <w:r>
        <w:rPr>
          <w:color w:val="6E6158"/>
          <w:spacing w:val="22"/>
        </w:rPr>
        <w:t> </w:t>
      </w:r>
      <w:r>
        <w:rPr>
          <w:color w:val="6E6158"/>
        </w:rPr>
        <w:t>Basin</w:t>
      </w:r>
      <w:r>
        <w:rPr>
          <w:color w:val="6E6158"/>
          <w:spacing w:val="22"/>
        </w:rPr>
        <w:t> </w:t>
      </w:r>
      <w:r>
        <w:rPr>
          <w:color w:val="6E6158"/>
        </w:rPr>
        <w:t>in</w:t>
      </w:r>
      <w:r>
        <w:rPr>
          <w:color w:val="6E6158"/>
          <w:spacing w:val="22"/>
        </w:rPr>
        <w:t> </w:t>
      </w:r>
      <w:r>
        <w:rPr>
          <w:color w:val="6E6158"/>
        </w:rPr>
        <w:t>state</w:t>
      </w:r>
      <w:r>
        <w:rPr>
          <w:color w:val="6E6158"/>
          <w:spacing w:val="22"/>
        </w:rPr>
        <w:t> </w:t>
      </w:r>
      <w:r>
        <w:rPr>
          <w:color w:val="6E6158"/>
        </w:rPr>
        <w:t>court.</w:t>
      </w:r>
    </w:p>
    <w:p>
      <w:pPr>
        <w:pStyle w:val="BodyText"/>
        <w:spacing w:line="302" w:lineRule="auto" w:before="197"/>
        <w:ind w:right="562"/>
      </w:pPr>
      <w:r>
        <w:rPr>
          <w:color w:val="6E6158"/>
        </w:rPr>
        <w:t>Larry is a former Chair of the American Bar Association’s Section of Environment, Energy, and</w:t>
      </w:r>
      <w:r>
        <w:rPr>
          <w:color w:val="6E6158"/>
          <w:spacing w:val="40"/>
        </w:rPr>
        <w:t> </w:t>
      </w:r>
      <w:r>
        <w:rPr>
          <w:color w:val="6E6158"/>
        </w:rPr>
        <w:t>Resources, and held numerous other leadership positions in that Section as well.</w:t>
      </w:r>
    </w:p>
    <w:p>
      <w:pPr>
        <w:pStyle w:val="BodyText"/>
        <w:spacing w:line="422" w:lineRule="auto" w:before="186"/>
        <w:ind w:right="7559"/>
      </w:pPr>
      <w:r>
        <w:rPr>
          <w:color w:val="6E6158"/>
        </w:rPr>
        <w:t>Natural Resources </w:t>
      </w:r>
      <w:r>
        <w:rPr>
          <w:color w:val="6E6158"/>
          <w:spacing w:val="-2"/>
        </w:rPr>
        <w:t>Agribusiness </w:t>
      </w:r>
      <w:r>
        <w:rPr>
          <w:color w:val="6E6158"/>
        </w:rPr>
        <w:t>Advanced </w:t>
      </w:r>
      <w:r>
        <w:rPr>
          <w:color w:val="6E6158"/>
        </w:rPr>
        <w:t>Energy Water Law</w:t>
      </w:r>
    </w:p>
    <w:p>
      <w:pPr>
        <w:pStyle w:val="Heading2"/>
        <w:spacing w:before="279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3872"/>
      </w:pPr>
      <w:r>
        <w:rPr>
          <w:color w:val="6E6158"/>
        </w:rPr>
        <w:t>J.D., University of Nebraska College of Law, with </w:t>
      </w:r>
      <w:r>
        <w:rPr>
          <w:color w:val="6E6158"/>
        </w:rPr>
        <w:t>distinction</w:t>
      </w:r>
      <w:r>
        <w:rPr>
          <w:color w:val="6E6158"/>
        </w:rPr>
        <w:t> B.A., University of Nebraska-Lincoln</w:t>
      </w:r>
    </w:p>
    <w:p>
      <w:pPr>
        <w:pStyle w:val="BodyText"/>
        <w:spacing w:before="7"/>
      </w:pPr>
      <w:r>
        <w:rPr>
          <w:color w:val="6E6158"/>
        </w:rPr>
        <w:t>Order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Coif</w:t>
      </w:r>
    </w:p>
    <w:p>
      <w:pPr>
        <w:pStyle w:val="BodyText"/>
        <w:spacing w:before="163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43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Appeals</w:t>
      </w:r>
    </w:p>
    <w:p>
      <w:pPr>
        <w:pStyle w:val="BodyText"/>
        <w:spacing w:before="71"/>
        <w:ind w:left="0"/>
      </w:pPr>
    </w:p>
    <w:p>
      <w:pPr>
        <w:pStyle w:val="BodyText"/>
        <w:spacing w:line="420" w:lineRule="auto"/>
        <w:ind w:right="7559"/>
      </w:pPr>
      <w:r>
        <w:rPr>
          <w:color w:val="6E6158"/>
        </w:rPr>
        <w:t>Natural Resources </w:t>
      </w:r>
      <w:r>
        <w:rPr>
          <w:color w:val="6E6158"/>
          <w:spacing w:val="-2"/>
        </w:rPr>
        <w:t>Agribusiness </w:t>
      </w:r>
      <w:r>
        <w:rPr>
          <w:color w:val="6E6158"/>
        </w:rPr>
        <w:t>Advanced </w:t>
      </w:r>
      <w:r>
        <w:rPr>
          <w:color w:val="6E6158"/>
        </w:rPr>
        <w:t>Energy</w:t>
      </w:r>
    </w:p>
    <w:p>
      <w:pPr>
        <w:pStyle w:val="BodyText"/>
        <w:spacing w:after="0" w:line="420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Water</w:t>
      </w:r>
      <w:r>
        <w:rPr>
          <w:color w:val="6E6158"/>
          <w:spacing w:val="2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562"/>
      </w:pPr>
      <w:r>
        <w:rPr>
          <w:color w:val="6E6158"/>
        </w:rPr>
        <w:t>Representing a client in litigation over the water right claims of the Hopi Tribe, Superior Court of</w:t>
      </w:r>
      <w:r>
        <w:rPr>
          <w:color w:val="6E6158"/>
          <w:spacing w:val="40"/>
        </w:rPr>
        <w:t> </w:t>
      </w:r>
      <w:r>
        <w:rPr>
          <w:color w:val="6E6158"/>
        </w:rPr>
        <w:t>Arizona,</w:t>
      </w:r>
      <w:r>
        <w:rPr>
          <w:color w:val="6E6158"/>
          <w:spacing w:val="21"/>
        </w:rPr>
        <w:t> </w:t>
      </w:r>
      <w:r>
        <w:rPr>
          <w:color w:val="6E6158"/>
        </w:rPr>
        <w:t>Apache</w:t>
      </w:r>
      <w:r>
        <w:rPr>
          <w:color w:val="6E6158"/>
          <w:spacing w:val="21"/>
        </w:rPr>
        <w:t> </w:t>
      </w:r>
      <w:r>
        <w:rPr>
          <w:color w:val="6E6158"/>
        </w:rPr>
        <w:t>County.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Special</w:t>
      </w:r>
      <w:r>
        <w:rPr>
          <w:color w:val="6E6158"/>
          <w:spacing w:val="21"/>
        </w:rPr>
        <w:t> </w:t>
      </w:r>
      <w:r>
        <w:rPr>
          <w:color w:val="6E6158"/>
        </w:rPr>
        <w:t>Master’s</w:t>
      </w:r>
      <w:r>
        <w:rPr>
          <w:color w:val="6E6158"/>
          <w:spacing w:val="21"/>
        </w:rPr>
        <w:t> </w:t>
      </w:r>
      <w:r>
        <w:rPr>
          <w:color w:val="6E6158"/>
        </w:rPr>
        <w:t>report</w:t>
      </w:r>
      <w:r>
        <w:rPr>
          <w:color w:val="6E6158"/>
          <w:spacing w:val="21"/>
        </w:rPr>
        <w:t> </w:t>
      </w:r>
      <w:r>
        <w:rPr>
          <w:color w:val="6E6158"/>
        </w:rPr>
        <w:t>is</w:t>
      </w:r>
      <w:r>
        <w:rPr>
          <w:color w:val="6E6158"/>
          <w:spacing w:val="21"/>
        </w:rPr>
        <w:t> </w:t>
      </w:r>
      <w:r>
        <w:rPr>
          <w:color w:val="6E6158"/>
        </w:rPr>
        <w:t>awaiting</w:t>
      </w:r>
      <w:r>
        <w:rPr>
          <w:color w:val="6E6158"/>
          <w:spacing w:val="21"/>
        </w:rPr>
        <w:t> </w:t>
      </w:r>
      <w:r>
        <w:rPr>
          <w:color w:val="6E6158"/>
        </w:rPr>
        <w:t>review</w:t>
      </w:r>
      <w:r>
        <w:rPr>
          <w:color w:val="6E6158"/>
          <w:spacing w:val="21"/>
        </w:rPr>
        <w:t> </w:t>
      </w:r>
      <w:r>
        <w:rPr>
          <w:color w:val="6E6158"/>
        </w:rPr>
        <w:t>by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Superior</w:t>
      </w:r>
      <w:r>
        <w:rPr>
          <w:color w:val="6E6158"/>
          <w:spacing w:val="21"/>
        </w:rPr>
        <w:t> </w:t>
      </w:r>
      <w:r>
        <w:rPr>
          <w:color w:val="6E6158"/>
        </w:rPr>
        <w:t>Court.</w:t>
      </w:r>
    </w:p>
    <w:p>
      <w:pPr>
        <w:pStyle w:val="BodyText"/>
        <w:spacing w:line="292" w:lineRule="auto" w:before="113"/>
        <w:ind w:right="562"/>
      </w:pPr>
      <w:r>
        <w:rPr>
          <w:color w:val="6E6158"/>
        </w:rPr>
        <w:t>Representing clients in litigation over the water right claims of the Navajo Nation in federal and</w:t>
      </w:r>
      <w:r>
        <w:rPr>
          <w:color w:val="6E6158"/>
          <w:spacing w:val="40"/>
        </w:rPr>
        <w:t> </w:t>
      </w:r>
      <w:r>
        <w:rPr>
          <w:color w:val="6E6158"/>
        </w:rPr>
        <w:t>state courts.</w:t>
      </w:r>
    </w:p>
    <w:p>
      <w:pPr>
        <w:spacing w:line="285" w:lineRule="auto" w:before="123"/>
        <w:ind w:left="99" w:right="562" w:firstLine="0"/>
        <w:jc w:val="left"/>
        <w:rPr>
          <w:sz w:val="19"/>
        </w:rPr>
      </w:pPr>
      <w:r>
        <w:rPr>
          <w:color w:val="6E6158"/>
          <w:sz w:val="19"/>
        </w:rPr>
        <w:t>Represented client in arguing successfully that a federal consent decree, entered by the United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States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on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behalf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San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Carlos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Apache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Tribe,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precluded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additional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water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right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claims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by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or for that Tribe to the mainstem of the Gila River.</w:t>
      </w:r>
      <w:r>
        <w:rPr>
          <w:color w:val="6E6158"/>
          <w:spacing w:val="40"/>
          <w:sz w:val="19"/>
        </w:rPr>
        <w:t> </w:t>
      </w:r>
      <w:r>
        <w:rPr>
          <w:i/>
          <w:color w:val="6E6158"/>
          <w:sz w:val="20"/>
        </w:rPr>
        <w:t>In re General Adjudication of All Rights to Use</w:t>
      </w:r>
      <w:r>
        <w:rPr>
          <w:i/>
          <w:color w:val="6E6158"/>
          <w:sz w:val="20"/>
        </w:rPr>
        <w:t> Water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Gila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River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Sys.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&amp;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Source</w:t>
      </w:r>
      <w:r>
        <w:rPr>
          <w:color w:val="6E6158"/>
          <w:sz w:val="19"/>
        </w:rPr>
        <w:t>, 127 P.3d 882 (Ariz.), </w:t>
      </w:r>
      <w:r>
        <w:rPr>
          <w:i/>
          <w:color w:val="6E6158"/>
          <w:sz w:val="20"/>
        </w:rPr>
        <w:t>reconsideration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denied</w:t>
      </w:r>
      <w:r>
        <w:rPr>
          <w:color w:val="6E6158"/>
          <w:sz w:val="19"/>
        </w:rPr>
        <w:t>, 134 P.3d 375 (Ariz. 2006), </w:t>
      </w:r>
      <w:r>
        <w:rPr>
          <w:i/>
          <w:color w:val="6E6158"/>
          <w:sz w:val="20"/>
        </w:rPr>
        <w:t>cert. denied</w:t>
      </w:r>
      <w:r>
        <w:rPr>
          <w:color w:val="6E6158"/>
          <w:sz w:val="19"/>
        </w:rPr>
        <w:t>, 549 U.S. 1156 (2007).</w:t>
      </w:r>
    </w:p>
    <w:p>
      <w:pPr>
        <w:spacing w:line="288" w:lineRule="auto" w:before="133"/>
        <w:ind w:left="99" w:right="562" w:firstLine="0"/>
        <w:jc w:val="left"/>
        <w:rPr>
          <w:sz w:val="19"/>
        </w:rPr>
      </w:pPr>
      <w:r>
        <w:rPr>
          <w:color w:val="6E6158"/>
          <w:sz w:val="19"/>
        </w:rPr>
        <w:t>Represented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clients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opposing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a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claim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by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Arizona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State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Land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Department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both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7"/>
          <w:sz w:val="19"/>
        </w:rPr>
        <w:t> </w:t>
      </w:r>
      <w:r>
        <w:rPr>
          <w:color w:val="6E6158"/>
          <w:sz w:val="19"/>
        </w:rPr>
        <w:t>Gila River and Little Colorado River Adjudications to a federal reserved water right for millions of acres</w:t>
      </w:r>
      <w:r>
        <w:rPr>
          <w:color w:val="6E6158"/>
          <w:spacing w:val="80"/>
          <w:sz w:val="19"/>
        </w:rPr>
        <w:t> </w:t>
      </w:r>
      <w:r>
        <w:rPr>
          <w:color w:val="6E6158"/>
          <w:sz w:val="19"/>
        </w:rPr>
        <w:t>of state trust lands. The Arizona Supreme Court held that no such reserved right exists. </w:t>
      </w:r>
      <w:r>
        <w:rPr>
          <w:i/>
          <w:color w:val="6E6158"/>
          <w:sz w:val="20"/>
        </w:rPr>
        <w:t>In re</w:t>
      </w:r>
      <w:r>
        <w:rPr>
          <w:i/>
          <w:color w:val="6E6158"/>
          <w:spacing w:val="80"/>
          <w:sz w:val="20"/>
        </w:rPr>
        <w:t> </w:t>
      </w:r>
      <w:r>
        <w:rPr>
          <w:i/>
          <w:color w:val="6E6158"/>
          <w:sz w:val="20"/>
        </w:rPr>
        <w:t>General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Adjudication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All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Rights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Use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Water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Gila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River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Sys.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&amp;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Source</w:t>
      </w:r>
      <w:r>
        <w:rPr>
          <w:color w:val="6E6158"/>
          <w:sz w:val="19"/>
        </w:rPr>
        <w:t>, 289 P.3d 936 (Ariz.</w:t>
      </w:r>
    </w:p>
    <w:p>
      <w:pPr>
        <w:pStyle w:val="BodyText"/>
        <w:spacing w:line="233" w:lineRule="exact"/>
      </w:pPr>
      <w:r>
        <w:rPr>
          <w:color w:val="6E6158"/>
          <w:spacing w:val="-2"/>
        </w:rPr>
        <w:t>2012).</w:t>
      </w:r>
    </w:p>
    <w:p>
      <w:pPr>
        <w:pStyle w:val="BodyText"/>
        <w:spacing w:line="292" w:lineRule="auto" w:before="173"/>
        <w:ind w:right="710"/>
      </w:pPr>
      <w:r>
        <w:rPr>
          <w:color w:val="6E6158"/>
        </w:rPr>
        <w:t>Advised clients in disputes over the Missouri River and the Apalachicola-Chattahoochee-</w:t>
      </w:r>
      <w:r>
        <w:rPr>
          <w:color w:val="6E6158"/>
        </w:rPr>
        <w:t>Flint</w:t>
      </w:r>
      <w:r>
        <w:rPr>
          <w:color w:val="6E6158"/>
          <w:spacing w:val="40"/>
        </w:rPr>
        <w:t> </w:t>
      </w:r>
      <w:r>
        <w:rPr>
          <w:color w:val="6E6158"/>
        </w:rPr>
        <w:t>River System.</w:t>
      </w:r>
    </w:p>
    <w:p>
      <w:pPr>
        <w:pStyle w:val="BodyText"/>
        <w:spacing w:line="295" w:lineRule="auto" w:before="132"/>
        <w:ind w:right="562"/>
      </w:pPr>
      <w:r>
        <w:rPr>
          <w:color w:val="6E6158"/>
        </w:rPr>
        <w:t>Represented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Town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Payson,</w:t>
      </w:r>
      <w:r>
        <w:rPr>
          <w:color w:val="6E6158"/>
          <w:spacing w:val="29"/>
        </w:rPr>
        <w:t> </w:t>
      </w:r>
      <w:r>
        <w:rPr>
          <w:color w:val="6E6158"/>
        </w:rPr>
        <w:t>Arizona,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negotiating</w:t>
      </w:r>
      <w:r>
        <w:rPr>
          <w:color w:val="6E6158"/>
          <w:spacing w:val="29"/>
        </w:rPr>
        <w:t> </w:t>
      </w:r>
      <w:r>
        <w:rPr>
          <w:color w:val="6E6158"/>
        </w:rPr>
        <w:t>an</w:t>
      </w:r>
      <w:r>
        <w:rPr>
          <w:color w:val="6E6158"/>
          <w:spacing w:val="29"/>
        </w:rPr>
        <w:t> </w:t>
      </w:r>
      <w:r>
        <w:rPr>
          <w:color w:val="6E6158"/>
        </w:rPr>
        <w:t>historic</w:t>
      </w:r>
      <w:r>
        <w:rPr>
          <w:color w:val="6E6158"/>
          <w:spacing w:val="29"/>
        </w:rPr>
        <w:t> </w:t>
      </w:r>
      <w:r>
        <w:rPr>
          <w:color w:val="6E6158"/>
        </w:rPr>
        <w:t>agreement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Salt River Valley Water Users’ Association and the Salt River Project Agricultural Improvement and</w:t>
      </w:r>
      <w:r>
        <w:rPr>
          <w:color w:val="6E6158"/>
          <w:spacing w:val="80"/>
        </w:rPr>
        <w:t> </w:t>
      </w:r>
      <w:r>
        <w:rPr>
          <w:color w:val="6E6158"/>
        </w:rPr>
        <w:t>Power District. Under the agreement, which was approved by the parties in 2008, the Town</w:t>
      </w:r>
      <w:r>
        <w:rPr>
          <w:color w:val="6E6158"/>
          <w:spacing w:val="40"/>
        </w:rPr>
        <w:t> </w:t>
      </w:r>
      <w:r>
        <w:rPr>
          <w:color w:val="6E6158"/>
        </w:rPr>
        <w:t>acquired the right to an average of 3,000 acre feet per year of water from C.C. Cragin Reservoir.</w:t>
      </w:r>
      <w:r>
        <w:rPr>
          <w:color w:val="6E6158"/>
          <w:spacing w:val="40"/>
        </w:rPr>
        <w:t> </w:t>
      </w:r>
      <w:r>
        <w:rPr>
          <w:color w:val="6E6158"/>
        </w:rPr>
        <w:t>That quantity of water, combined with groundwater pumping the agreement allows the Town to conduct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Town’s</w:t>
      </w:r>
      <w:r>
        <w:rPr>
          <w:color w:val="6E6158"/>
          <w:spacing w:val="33"/>
        </w:rPr>
        <w:t> </w:t>
      </w:r>
      <w:r>
        <w:rPr>
          <w:color w:val="6E6158"/>
        </w:rPr>
        <w:t>effective</w:t>
      </w:r>
      <w:r>
        <w:rPr>
          <w:color w:val="6E6158"/>
          <w:spacing w:val="33"/>
        </w:rPr>
        <w:t> </w:t>
      </w:r>
      <w:r>
        <w:rPr>
          <w:color w:val="6E6158"/>
        </w:rPr>
        <w:t>water</w:t>
      </w:r>
      <w:r>
        <w:rPr>
          <w:color w:val="6E6158"/>
          <w:spacing w:val="33"/>
        </w:rPr>
        <w:t> </w:t>
      </w:r>
      <w:r>
        <w:rPr>
          <w:color w:val="6E6158"/>
        </w:rPr>
        <w:t>conservation</w:t>
      </w:r>
      <w:r>
        <w:rPr>
          <w:color w:val="6E6158"/>
          <w:spacing w:val="33"/>
        </w:rPr>
        <w:t> </w:t>
      </w:r>
      <w:r>
        <w:rPr>
          <w:color w:val="6E6158"/>
        </w:rPr>
        <w:t>program,</w:t>
      </w:r>
      <w:r>
        <w:rPr>
          <w:color w:val="6E6158"/>
          <w:spacing w:val="33"/>
        </w:rPr>
        <w:t> </w:t>
      </w:r>
      <w:r>
        <w:rPr>
          <w:color w:val="6E6158"/>
        </w:rPr>
        <w:t>should</w:t>
      </w:r>
      <w:r>
        <w:rPr>
          <w:color w:val="6E6158"/>
          <w:spacing w:val="33"/>
        </w:rPr>
        <w:t> </w:t>
      </w:r>
      <w:r>
        <w:rPr>
          <w:color w:val="6E6158"/>
        </w:rPr>
        <w:t>provide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supply</w:t>
      </w:r>
    </w:p>
    <w:p>
      <w:pPr>
        <w:pStyle w:val="BodyText"/>
        <w:spacing w:line="292" w:lineRule="auto"/>
        <w:ind w:right="562"/>
      </w:pPr>
      <w:r>
        <w:rPr>
          <w:color w:val="6E6158"/>
        </w:rPr>
        <w:t>sufficient to meet the Town’s demand at anticipated build-out. The contract is the result of more</w:t>
      </w:r>
      <w:r>
        <w:rPr>
          <w:color w:val="6E6158"/>
          <w:spacing w:val="40"/>
        </w:rPr>
        <w:t> </w:t>
      </w:r>
      <w:r>
        <w:rPr>
          <w:color w:val="6E6158"/>
        </w:rPr>
        <w:t>than</w:t>
      </w:r>
      <w:r>
        <w:rPr>
          <w:color w:val="6E6158"/>
          <w:spacing w:val="8"/>
        </w:rPr>
        <w:t> </w:t>
      </w:r>
      <w:r>
        <w:rPr>
          <w:color w:val="6E6158"/>
        </w:rPr>
        <w:t>a</w:t>
      </w:r>
      <w:r>
        <w:rPr>
          <w:color w:val="6E6158"/>
          <w:spacing w:val="8"/>
        </w:rPr>
        <w:t> </w:t>
      </w:r>
      <w:r>
        <w:rPr>
          <w:color w:val="6E6158"/>
        </w:rPr>
        <w:t>decade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effort</w:t>
      </w:r>
      <w:r>
        <w:rPr>
          <w:color w:val="6E6158"/>
          <w:spacing w:val="9"/>
        </w:rPr>
        <w:t> </w:t>
      </w:r>
      <w:r>
        <w:rPr>
          <w:color w:val="6E6158"/>
        </w:rPr>
        <w:t>by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Town</w:t>
      </w:r>
      <w:r>
        <w:rPr>
          <w:color w:val="6E6158"/>
          <w:spacing w:val="8"/>
        </w:rPr>
        <w:t> </w:t>
      </w:r>
      <w:r>
        <w:rPr>
          <w:color w:val="6E6158"/>
        </w:rPr>
        <w:t>staff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</w:rPr>
        <w:t>Larry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obtain</w:t>
      </w:r>
      <w:r>
        <w:rPr>
          <w:color w:val="6E6158"/>
          <w:spacing w:val="9"/>
        </w:rPr>
        <w:t> </w:t>
      </w:r>
      <w:r>
        <w:rPr>
          <w:color w:val="6E6158"/>
        </w:rPr>
        <w:t>access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water</w:t>
      </w:r>
      <w:r>
        <w:rPr>
          <w:color w:val="6E6158"/>
          <w:spacing w:val="8"/>
        </w:rPr>
        <w:t> </w:t>
      </w:r>
      <w:r>
        <w:rPr>
          <w:color w:val="6E6158"/>
        </w:rPr>
        <w:t>from</w:t>
      </w:r>
      <w:r>
        <w:rPr>
          <w:color w:val="6E6158"/>
          <w:spacing w:val="9"/>
        </w:rPr>
        <w:t> </w:t>
      </w:r>
      <w:r>
        <w:rPr>
          <w:color w:val="6E6158"/>
        </w:rPr>
        <w:t>this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reservoir.</w:t>
      </w:r>
    </w:p>
    <w:p>
      <w:pPr>
        <w:pStyle w:val="BodyText"/>
        <w:spacing w:line="292" w:lineRule="auto" w:before="129"/>
        <w:ind w:right="562"/>
      </w:pPr>
      <w:r>
        <w:rPr>
          <w:color w:val="6E6158"/>
        </w:rPr>
        <w:t>Advises clients on water resource planning, and the interplay between utilization of </w:t>
      </w:r>
      <w:r>
        <w:rPr>
          <w:color w:val="6E6158"/>
        </w:rPr>
        <w:t>water resources and the impact of various environmental laws.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both"/>
        <w:rPr>
          <w:sz w:val="19"/>
        </w:rPr>
      </w:pPr>
      <w:r>
        <w:rPr>
          <w:i/>
          <w:color w:val="6E6158"/>
          <w:sz w:val="20"/>
        </w:rPr>
        <w:t>Chambers USA,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2005-</w:t>
      </w:r>
      <w:r>
        <w:rPr>
          <w:color w:val="6E6158"/>
          <w:spacing w:val="-4"/>
          <w:sz w:val="19"/>
        </w:rPr>
        <w:t>2026</w:t>
      </w:r>
    </w:p>
    <w:p>
      <w:pPr>
        <w:spacing w:line="288" w:lineRule="auto" w:before="173"/>
        <w:ind w:left="99" w:right="753" w:firstLine="0"/>
        <w:jc w:val="both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Litigation – Environmental, Natural Resources Law, Water Law, 1999-</w:t>
      </w:r>
      <w:r>
        <w:rPr>
          <w:color w:val="6E6158"/>
          <w:spacing w:val="-4"/>
          <w:sz w:val="19"/>
        </w:rPr>
        <w:t>2027</w:t>
      </w:r>
    </w:p>
    <w:p>
      <w:pPr>
        <w:spacing w:before="120"/>
        <w:ind w:left="99" w:right="0" w:firstLine="0"/>
        <w:jc w:val="both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Water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2011,</w:t>
      </w:r>
      <w:r>
        <w:rPr>
          <w:color w:val="6E6158"/>
          <w:spacing w:val="-4"/>
          <w:sz w:val="19"/>
        </w:rPr>
        <w:t> 2020</w:t>
      </w:r>
    </w:p>
    <w:p>
      <w:pPr>
        <w:spacing w:line="405" w:lineRule="auto" w:before="165"/>
        <w:ind w:left="99" w:right="1184" w:firstLine="0"/>
        <w:jc w:val="both"/>
        <w:rPr>
          <w:sz w:val="19"/>
        </w:rPr>
      </w:pPr>
      <w:r>
        <w:rPr>
          <w:i/>
          <w:color w:val="6E6158"/>
          <w:sz w:val="20"/>
        </w:rPr>
        <w:t>Southwest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Energy and Natural Resources, 2007; 2010-2013 and 2016-</w:t>
      </w:r>
      <w:r>
        <w:rPr>
          <w:color w:val="6E6158"/>
          <w:sz w:val="19"/>
        </w:rPr>
        <w:t>2020 </w:t>
      </w: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Lawyer of the Year, Litigation – Environmental, 2012, 2016, 2018 </w:t>
      </w: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Lawyer of the Year, Natural Resources Law, 2015</w:t>
      </w:r>
    </w:p>
    <w:p>
      <w:pPr>
        <w:pStyle w:val="BodyText"/>
        <w:spacing w:line="267" w:lineRule="exact"/>
        <w:jc w:val="both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2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562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First District Court Rules California’s Validation Law Is Mandatory and Jurisdictional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Reverse Validation Actions</w:t>
        </w:r>
      </w:hyperlink>
      <w:r>
        <w:rPr>
          <w:color w:val="6E6158"/>
        </w:rPr>
        <w:t>,” California Water Law &amp; Policy Reporter, September 2026</w:t>
      </w:r>
    </w:p>
    <w:p>
      <w:pPr>
        <w:pStyle w:val="BodyText"/>
        <w:spacing w:line="292" w:lineRule="auto" w:before="132"/>
        <w:ind w:right="710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California Supreme Court Clarifies Coastal Commission’s Appellate </w:t>
        </w:r>
        <w:r>
          <w:rPr>
            <w:color w:val="F5821F"/>
          </w:rPr>
          <w:t>Jurisdiction</w:t>
        </w:r>
      </w:hyperlink>
      <w:r>
        <w:rPr>
          <w:color w:val="6E6158"/>
        </w:rPr>
        <w:t>,” California Land Use Law &amp; Policy Reporter, June 2026</w:t>
      </w:r>
    </w:p>
    <w:p>
      <w:pPr>
        <w:pStyle w:val="BodyText"/>
        <w:spacing w:line="292" w:lineRule="auto" w:before="123"/>
        <w:ind w:right="710"/>
      </w:pPr>
      <w:r>
        <w:rPr>
          <w:color w:val="6E6158"/>
        </w:rPr>
        <w:t>Presenter, “Lands in Transition: Water Issues,” 46th Annual Educational Symposium of </w:t>
      </w:r>
      <w:r>
        <w:rPr>
          <w:color w:val="6E6158"/>
        </w:rPr>
        <w:t>the American Agricultural Law Association, November 7, 2025</w:t>
      </w:r>
    </w:p>
    <w:p>
      <w:pPr>
        <w:pStyle w:val="BodyText"/>
        <w:spacing w:line="292" w:lineRule="auto" w:before="131"/>
        <w:ind w:right="710"/>
      </w:pPr>
      <w:r>
        <w:rPr>
          <w:color w:val="6E6158"/>
        </w:rPr>
        <w:t>Co-Author, “First District Court Finds Combined Wastewater and Stormwater System is a </w:t>
      </w:r>
      <w:r>
        <w:rPr>
          <w:color w:val="6E6158"/>
        </w:rPr>
        <w:t>‘Sewer’ For Purposes of Proposition 218,” July 2025,</w:t>
      </w:r>
      <w:r>
        <w:rPr>
          <w:color w:val="6E6158"/>
          <w:spacing w:val="40"/>
        </w:rPr>
        <w:t> </w:t>
      </w:r>
      <w:r>
        <w:rPr>
          <w:color w:val="6E6158"/>
        </w:rPr>
        <w:t>California Water Law And Policy Reporter, </w:t>
      </w:r>
      <w:hyperlink r:id="rId15">
        <w:r>
          <w:rPr>
            <w:color w:val="F5821F"/>
          </w:rPr>
          <w:t>https://argentco.com/</w:t>
        </w:r>
      </w:hyperlink>
      <w:r>
        <w:rPr>
          <w:color w:val="F5821F"/>
        </w:rPr>
        <w:t> </w:t>
      </w:r>
      <w:r>
        <w:rPr>
          <w:color w:val="6E6158"/>
        </w:rPr>
        <w:t>(subscription required)</w:t>
      </w:r>
    </w:p>
    <w:p>
      <w:pPr>
        <w:pStyle w:val="BodyText"/>
        <w:spacing w:line="302" w:lineRule="auto" w:before="124"/>
        <w:ind w:right="562"/>
      </w:pPr>
      <w:r>
        <w:rPr>
          <w:color w:val="6E6158"/>
        </w:rPr>
        <w:t>Co-Presenter, “Ag, Food, &amp; Federal and State Agency Deference in a Post-Chevron </w:t>
      </w:r>
      <w:r>
        <w:rPr>
          <w:color w:val="6E6158"/>
        </w:rPr>
        <w:t>World,” Western Water, Ag, &amp; Environmental Law Conference, June 2025</w:t>
      </w:r>
    </w:p>
    <w:p>
      <w:pPr>
        <w:pStyle w:val="BodyText"/>
        <w:spacing w:line="292" w:lineRule="auto" w:before="113"/>
        <w:ind w:right="562"/>
      </w:pPr>
      <w:r>
        <w:rPr>
          <w:color w:val="6E6158"/>
        </w:rPr>
        <w:t>Co-Author, “First District Court Affirms Trial Court’s Rejection of Challenge to City Community Services District Charges Made Without Voter Approval,” California Land Use &amp; Policy Reporter, June 2025</w:t>
      </w:r>
    </w:p>
    <w:p>
      <w:pPr>
        <w:pStyle w:val="BodyText"/>
        <w:spacing w:line="292" w:lineRule="auto" w:before="132"/>
        <w:ind w:right="562"/>
      </w:pPr>
      <w:r>
        <w:rPr>
          <w:color w:val="6E6158"/>
        </w:rPr>
        <w:t>Co-Author, “First District Court Affirms Trial Court’s Rejection of Challenge to City Community Services District Charges Made Without Voter Approval,” California Water Law &amp; Policy Reporter, June 2025</w:t>
      </w:r>
    </w:p>
    <w:p>
      <w:pPr>
        <w:pStyle w:val="BodyText"/>
        <w:spacing w:line="292" w:lineRule="auto" w:before="132"/>
        <w:ind w:right="710"/>
      </w:pPr>
      <w:r>
        <w:rPr>
          <w:color w:val="6E6158"/>
        </w:rPr>
        <w:t>Co-Author, “Federal Circuit Finds NMFS’ Requirement for Increased Water to Bypass Dam Diversion to Protect Species Didn’t Constitute a ‘Ripe’ Taking,” California Land Use &amp; Policy</w:t>
      </w:r>
      <w:r>
        <w:rPr>
          <w:color w:val="6E6158"/>
          <w:spacing w:val="40"/>
        </w:rPr>
        <w:t> </w:t>
      </w:r>
      <w:r>
        <w:rPr>
          <w:color w:val="6E6158"/>
        </w:rPr>
        <w:t>Reporter, May 2025</w:t>
      </w:r>
    </w:p>
    <w:p>
      <w:pPr>
        <w:pStyle w:val="BodyText"/>
        <w:spacing w:line="297" w:lineRule="auto" w:before="124"/>
        <w:ind w:right="710"/>
      </w:pPr>
      <w:r>
        <w:rPr>
          <w:color w:val="6E6158"/>
        </w:rPr>
        <w:t>Co-Author, “Federal Circuit Finds NMFS’ Requirement for Increased Water to Bypass Dam Diversion to Protect Species Didn’t Constitute a ‘Ripe’ Taking,” California Water Law &amp; Policy Reporter, May 2025</w:t>
      </w:r>
    </w:p>
    <w:p>
      <w:pPr>
        <w:pStyle w:val="BodyText"/>
        <w:spacing w:line="297" w:lineRule="auto" w:before="118"/>
        <w:ind w:right="710"/>
      </w:pPr>
      <w:r>
        <w:rPr>
          <w:color w:val="6E6158"/>
        </w:rPr>
        <w:t>Co-Author, “Federal Circuit Finds NMFS’ Requirement for Increased Water to Bypass Dam Diversion to Protect Species Didn’t Constitute a ‘Ripe’ Taking,” Western Water Law &amp; Policy Reporter, May 2025</w:t>
      </w:r>
    </w:p>
    <w:p>
      <w:pPr>
        <w:pStyle w:val="BodyText"/>
        <w:spacing w:line="292" w:lineRule="auto" w:before="118"/>
        <w:ind w:right="710"/>
      </w:pPr>
      <w:r>
        <w:rPr>
          <w:color w:val="6E6158"/>
        </w:rPr>
        <w:t>Speaker, “CA Water: Building for the Future,” 2018 Association of California Water </w:t>
      </w:r>
      <w:r>
        <w:rPr>
          <w:color w:val="6E6158"/>
        </w:rPr>
        <w:t>Agencies Spring Conference and Exhibition, May 2018</w:t>
      </w:r>
    </w:p>
    <w:p>
      <w:pPr>
        <w:pStyle w:val="BodyText"/>
        <w:spacing w:line="302" w:lineRule="auto" w:before="123"/>
        <w:ind w:right="710"/>
      </w:pPr>
      <w:r>
        <w:rPr>
          <w:color w:val="6E6158"/>
        </w:rPr>
        <w:t>Panelist, “Beyond D-1641: How the Water Quality Control Planning Process Works,” </w:t>
      </w:r>
      <w:r>
        <w:rPr>
          <w:color w:val="6E6158"/>
        </w:rPr>
        <w:t>2017 Association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California</w:t>
      </w:r>
      <w:r>
        <w:rPr>
          <w:color w:val="6E6158"/>
          <w:spacing w:val="36"/>
        </w:rPr>
        <w:t> </w:t>
      </w:r>
      <w:r>
        <w:rPr>
          <w:color w:val="6E6158"/>
        </w:rPr>
        <w:t>Water</w:t>
      </w:r>
      <w:r>
        <w:rPr>
          <w:color w:val="6E6158"/>
          <w:spacing w:val="36"/>
        </w:rPr>
        <w:t> </w:t>
      </w:r>
      <w:r>
        <w:rPr>
          <w:color w:val="6E6158"/>
        </w:rPr>
        <w:t>Agencies</w:t>
      </w:r>
      <w:r>
        <w:rPr>
          <w:color w:val="6E6158"/>
          <w:spacing w:val="36"/>
        </w:rPr>
        <w:t> </w:t>
      </w:r>
      <w:r>
        <w:rPr>
          <w:color w:val="6E6158"/>
        </w:rPr>
        <w:t>Spring</w:t>
      </w:r>
      <w:r>
        <w:rPr>
          <w:color w:val="6E6158"/>
          <w:spacing w:val="36"/>
        </w:rPr>
        <w:t> </w:t>
      </w:r>
      <w:r>
        <w:rPr>
          <w:color w:val="6E6158"/>
        </w:rPr>
        <w:t>Conference</w:t>
      </w:r>
      <w:r>
        <w:rPr>
          <w:color w:val="6E6158"/>
          <w:spacing w:val="36"/>
        </w:rPr>
        <w:t> </w:t>
      </w:r>
      <w:r>
        <w:rPr>
          <w:color w:val="6E6158"/>
        </w:rPr>
        <w:t>&amp;</w:t>
      </w:r>
      <w:r>
        <w:rPr>
          <w:color w:val="6E6158"/>
          <w:spacing w:val="36"/>
        </w:rPr>
        <w:t> </w:t>
      </w:r>
      <w:r>
        <w:rPr>
          <w:color w:val="6E6158"/>
        </w:rPr>
        <w:t>Exhibition,</w:t>
      </w:r>
      <w:r>
        <w:rPr>
          <w:color w:val="6E6158"/>
          <w:spacing w:val="36"/>
        </w:rPr>
        <w:t> </w:t>
      </w:r>
      <w:r>
        <w:rPr>
          <w:color w:val="6E6158"/>
        </w:rPr>
        <w:t>May</w:t>
      </w:r>
      <w:r>
        <w:rPr>
          <w:color w:val="6E6158"/>
          <w:spacing w:val="36"/>
        </w:rPr>
        <w:t> </w:t>
      </w:r>
      <w:r>
        <w:rPr>
          <w:color w:val="6E6158"/>
        </w:rPr>
        <w:t>2017</w:t>
      </w:r>
    </w:p>
    <w:p>
      <w:pPr>
        <w:pStyle w:val="BodyText"/>
        <w:spacing w:line="292" w:lineRule="auto" w:before="113"/>
        <w:ind w:right="562"/>
      </w:pPr>
      <w:r>
        <w:rPr>
          <w:color w:val="6E6158"/>
        </w:rPr>
        <w:t>Speaker, “Update on the Navajo Nation’s Challenge to Federal Management Decisions </w:t>
      </w:r>
      <w:r>
        <w:rPr>
          <w:color w:val="6E6158"/>
        </w:rPr>
        <w:t>Relating</w:t>
      </w:r>
      <w:r>
        <w:rPr>
          <w:color w:val="6E6158"/>
          <w:spacing w:val="40"/>
        </w:rPr>
        <w:t> </w:t>
      </w:r>
      <w:r>
        <w:rPr>
          <w:color w:val="6E6158"/>
        </w:rPr>
        <w:t>to the Colorado River,” CLE International Arizona Water Law Conference, Aug. 2015</w:t>
      </w:r>
    </w:p>
    <w:p>
      <w:pPr>
        <w:pStyle w:val="BodyText"/>
        <w:spacing w:line="292" w:lineRule="auto" w:before="132"/>
      </w:pPr>
      <w:r>
        <w:rPr>
          <w:color w:val="6E6158"/>
        </w:rPr>
        <w:t>Speaker, “Watershed Management and Cumulative Effects – American Style,” Canadian Bar Association’s</w:t>
      </w:r>
      <w:r>
        <w:rPr>
          <w:color w:val="6E6158"/>
          <w:spacing w:val="14"/>
        </w:rPr>
        <w:t> </w:t>
      </w:r>
      <w:r>
        <w:rPr>
          <w:color w:val="6E6158"/>
        </w:rPr>
        <w:t>2011</w:t>
      </w:r>
      <w:r>
        <w:rPr>
          <w:color w:val="6E6158"/>
          <w:spacing w:val="15"/>
        </w:rPr>
        <w:t> </w:t>
      </w:r>
      <w:r>
        <w:rPr>
          <w:color w:val="6E6158"/>
        </w:rPr>
        <w:t>Annual</w:t>
      </w:r>
      <w:r>
        <w:rPr>
          <w:color w:val="6E6158"/>
          <w:spacing w:val="14"/>
        </w:rPr>
        <w:t> </w:t>
      </w:r>
      <w:r>
        <w:rPr>
          <w:color w:val="6E6158"/>
        </w:rPr>
        <w:t>National</w:t>
      </w:r>
      <w:r>
        <w:rPr>
          <w:color w:val="6E6158"/>
          <w:spacing w:val="15"/>
        </w:rPr>
        <w:t> </w:t>
      </w:r>
      <w:r>
        <w:rPr>
          <w:color w:val="6E6158"/>
        </w:rPr>
        <w:t>Environment,</w:t>
      </w:r>
      <w:r>
        <w:rPr>
          <w:color w:val="6E6158"/>
          <w:spacing w:val="14"/>
        </w:rPr>
        <w:t> </w:t>
      </w:r>
      <w:r>
        <w:rPr>
          <w:color w:val="6E6158"/>
        </w:rPr>
        <w:t>Energy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Resource</w:t>
      </w:r>
      <w:r>
        <w:rPr>
          <w:color w:val="6E6158"/>
          <w:spacing w:val="15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Summit,</w:t>
      </w:r>
      <w:r>
        <w:rPr>
          <w:color w:val="6E6158"/>
          <w:spacing w:val="15"/>
        </w:rPr>
        <w:t> </w:t>
      </w:r>
      <w:r>
        <w:rPr>
          <w:color w:val="6E6158"/>
        </w:rPr>
        <w:t>April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2011</w:t>
      </w:r>
    </w:p>
    <w:p>
      <w:pPr>
        <w:pStyle w:val="BodyText"/>
        <w:spacing w:line="292" w:lineRule="auto" w:before="123"/>
        <w:ind w:right="562"/>
      </w:pPr>
      <w:r>
        <w:rPr>
          <w:color w:val="6E6158"/>
        </w:rPr>
        <w:t>Author, “General Stream Adjudications and Eastern River Systems,” Vol. 133, Journal </w:t>
      </w:r>
      <w:r>
        <w:rPr>
          <w:color w:val="6E6158"/>
        </w:rPr>
        <w:t>of Contemporary Water Research &amp; Education, 2006</w:t>
      </w:r>
    </w:p>
    <w:p>
      <w:pPr>
        <w:pStyle w:val="BodyText"/>
        <w:spacing w:line="292" w:lineRule="auto" w:before="131"/>
        <w:ind w:right="619"/>
      </w:pPr>
      <w:r>
        <w:rPr>
          <w:color w:val="6E6158"/>
        </w:rPr>
        <w:t>Speaker, “The Year in Review – Recent Environmental and Resource Developments That May Be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Interest</w:t>
      </w:r>
      <w:r>
        <w:rPr>
          <w:color w:val="6E6158"/>
          <w:spacing w:val="38"/>
        </w:rPr>
        <w:t> </w:t>
      </w:r>
      <w:r>
        <w:rPr>
          <w:color w:val="6E6158"/>
        </w:rPr>
        <w:t>to</w:t>
      </w:r>
      <w:r>
        <w:rPr>
          <w:color w:val="6E6158"/>
          <w:spacing w:val="38"/>
        </w:rPr>
        <w:t> </w:t>
      </w:r>
      <w:r>
        <w:rPr>
          <w:color w:val="6E6158"/>
        </w:rPr>
        <w:t>Canadian</w:t>
      </w:r>
      <w:r>
        <w:rPr>
          <w:color w:val="6E6158"/>
          <w:spacing w:val="38"/>
        </w:rPr>
        <w:t> </w:t>
      </w:r>
      <w:r>
        <w:rPr>
          <w:color w:val="6E6158"/>
        </w:rPr>
        <w:t>Environmental</w:t>
      </w:r>
      <w:r>
        <w:rPr>
          <w:color w:val="6E6158"/>
          <w:spacing w:val="38"/>
        </w:rPr>
        <w:t> </w:t>
      </w:r>
      <w:r>
        <w:rPr>
          <w:color w:val="6E6158"/>
        </w:rPr>
        <w:t>Law</w:t>
      </w:r>
      <w:r>
        <w:rPr>
          <w:color w:val="6E6158"/>
          <w:spacing w:val="38"/>
        </w:rPr>
        <w:t> </w:t>
      </w:r>
      <w:r>
        <w:rPr>
          <w:color w:val="6E6158"/>
        </w:rPr>
        <w:t>Practitioners,”</w:t>
      </w:r>
      <w:r>
        <w:rPr>
          <w:color w:val="6E6158"/>
          <w:spacing w:val="38"/>
        </w:rPr>
        <w:t> </w:t>
      </w:r>
      <w:r>
        <w:rPr>
          <w:color w:val="6E6158"/>
        </w:rPr>
        <w:t>Canadian</w:t>
      </w:r>
      <w:r>
        <w:rPr>
          <w:color w:val="6E6158"/>
          <w:spacing w:val="38"/>
        </w:rPr>
        <w:t> </w:t>
      </w:r>
      <w:r>
        <w:rPr>
          <w:color w:val="6E6158"/>
        </w:rPr>
        <w:t>Bar</w:t>
      </w:r>
      <w:r>
        <w:rPr>
          <w:color w:val="6E6158"/>
          <w:spacing w:val="38"/>
        </w:rPr>
        <w:t> </w:t>
      </w:r>
      <w:r>
        <w:rPr>
          <w:color w:val="6E6158"/>
        </w:rPr>
        <w:t>Association’s</w:t>
      </w:r>
      <w:r>
        <w:rPr>
          <w:color w:val="6E6158"/>
          <w:spacing w:val="38"/>
        </w:rPr>
        <w:t> </w:t>
      </w:r>
      <w:r>
        <w:rPr>
          <w:color w:val="6E6158"/>
        </w:rPr>
        <w:t>First Annual National Environment, Energy and Resources Law Summit, May 2005</w:t>
      </w:r>
    </w:p>
    <w:p>
      <w:pPr>
        <w:pStyle w:val="BodyText"/>
        <w:spacing w:line="302" w:lineRule="auto" w:before="124"/>
      </w:pPr>
      <w:r>
        <w:rPr>
          <w:color w:val="6E6158"/>
        </w:rPr>
        <w:t>Speaker, “Cross-Border Water Issues (Quantity and Quality) – Perspective of Practitioner in U.S.A.,” Mexican Bar Association program, Aug. 2004</w:t>
      </w:r>
    </w:p>
    <w:p>
      <w:pPr>
        <w:pStyle w:val="BodyText"/>
        <w:spacing w:line="292" w:lineRule="auto" w:before="113"/>
        <w:ind w:right="562"/>
      </w:pPr>
      <w:r>
        <w:rPr>
          <w:color w:val="6E6158"/>
        </w:rPr>
        <w:t>Speaker, “Lessons Learned from the Complex Federal/State Relationship in Water </w:t>
      </w:r>
      <w:r>
        <w:rPr>
          <w:color w:val="6E6158"/>
        </w:rPr>
        <w:t>Management,” American Bar Association, Section of Environmental, Energy, and Resources’ program entitled</w:t>
      </w:r>
      <w:r>
        <w:rPr>
          <w:color w:val="6E6158"/>
          <w:spacing w:val="40"/>
        </w:rPr>
        <w:t> </w:t>
      </w:r>
      <w:r>
        <w:rPr>
          <w:color w:val="6E6158"/>
        </w:rPr>
        <w:t>Eastern Water Resources: Law, Policy and Technology, May 2004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619"/>
      </w:pPr>
      <w:r>
        <w:rPr>
          <w:color w:val="6E6158"/>
        </w:rPr>
        <w:t>Co-author and co-presenter, “Negotiating a Water Right Settlement: Bringing Claimants Who </w:t>
      </w:r>
      <w:r>
        <w:rPr>
          <w:color w:val="6E6158"/>
        </w:rPr>
        <w:t>Are Not at the Table into the Process,” 47 Rocky Mtn. Mineral L. Institute 19-1, 2001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7"/>
        </w:rPr>
        <w:t> </w:t>
      </w:r>
      <w:r>
        <w:rPr>
          <w:color w:val="6E6158"/>
        </w:rPr>
        <w:t>American</w:t>
      </w:r>
      <w:r>
        <w:rPr>
          <w:color w:val="6E6158"/>
          <w:spacing w:val="8"/>
        </w:rPr>
        <w:t> </w:t>
      </w:r>
      <w:r>
        <w:rPr>
          <w:color w:val="6E6158"/>
        </w:rPr>
        <w:t>Bar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4"/>
      </w:pPr>
      <w:r>
        <w:rPr>
          <w:color w:val="6E6158"/>
        </w:rPr>
        <w:t>Past</w:t>
      </w:r>
      <w:r>
        <w:rPr>
          <w:color w:val="6E6158"/>
          <w:spacing w:val="11"/>
        </w:rPr>
        <w:t> </w:t>
      </w:r>
      <w:r>
        <w:rPr>
          <w:color w:val="6E6158"/>
        </w:rPr>
        <w:t>Chair,</w:t>
      </w:r>
      <w:r>
        <w:rPr>
          <w:color w:val="6E6158"/>
          <w:spacing w:val="11"/>
        </w:rPr>
        <w:t> </w:t>
      </w:r>
      <w:r>
        <w:rPr>
          <w:color w:val="6E6158"/>
        </w:rPr>
        <w:t>Section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Environment,</w:t>
      </w:r>
      <w:r>
        <w:rPr>
          <w:color w:val="6E6158"/>
          <w:spacing w:val="11"/>
        </w:rPr>
        <w:t> </w:t>
      </w:r>
      <w:r>
        <w:rPr>
          <w:color w:val="6E6158"/>
        </w:rPr>
        <w:t>Energy,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Resources,</w:t>
      </w:r>
      <w:r>
        <w:rPr>
          <w:color w:val="6E6158"/>
          <w:spacing w:val="11"/>
        </w:rPr>
        <w:t> </w:t>
      </w:r>
      <w:r>
        <w:rPr>
          <w:color w:val="6E6158"/>
        </w:rPr>
        <w:t>American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292" w:lineRule="auto" w:before="174"/>
        <w:ind w:right="710"/>
      </w:pPr>
      <w:r>
        <w:rPr>
          <w:color w:val="6E6158"/>
        </w:rPr>
        <w:t>Past Member of Council and Strategic Planning Committee Chair, Section of </w:t>
      </w:r>
      <w:r>
        <w:rPr>
          <w:color w:val="6E6158"/>
        </w:rPr>
        <w:t>Environment, Energy, and Resources, American Bar Association</w:t>
      </w:r>
    </w:p>
    <w:p>
      <w:pPr>
        <w:pStyle w:val="BodyText"/>
        <w:spacing w:line="292" w:lineRule="auto" w:before="132"/>
        <w:ind w:right="710"/>
      </w:pPr>
      <w:r>
        <w:rPr>
          <w:color w:val="6E6158"/>
        </w:rPr>
        <w:t>Past Chair, Water Resources Committee, Section of Environment, Energy, and Resources, American Bar Association</w:t>
      </w:r>
    </w:p>
    <w:p>
      <w:pPr>
        <w:pStyle w:val="BodyText"/>
        <w:spacing w:line="292" w:lineRule="auto" w:before="123"/>
        <w:ind w:right="562"/>
      </w:pPr>
      <w:r>
        <w:rPr>
          <w:color w:val="6E6158"/>
        </w:rPr>
        <w:t>Past Program Chair, Annual Water Law Conference, Section of Environment, Energy, and Resources, American Bar Association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8103"/>
      </w:pPr>
      <w:r>
        <w:rPr>
          <w:color w:val="6E6158"/>
          <w:spacing w:val="-2"/>
        </w:rPr>
        <w:t>Arizona California Montana Nebraska Oregon</w:t>
      </w:r>
    </w:p>
    <w:p>
      <w:pPr>
        <w:pStyle w:val="BodyText"/>
        <w:spacing w:line="225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Nebraska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Appeals,</w:t>
      </w:r>
      <w:r>
        <w:rPr>
          <w:color w:val="6E6158"/>
          <w:spacing w:val="12"/>
        </w:rPr>
        <w:t> </w:t>
      </w:r>
      <w:r>
        <w:rPr>
          <w:color w:val="6E6158"/>
        </w:rPr>
        <w:t>Eleventh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Columbia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natural-resources-energy-and-environmental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lcaster@fennemorelaw.com" TargetMode="External"/><Relationship Id="rId11" Type="http://schemas.openxmlformats.org/officeDocument/2006/relationships/hyperlink" Target="http://www.superiorcourt.maricopa.gov/SuperiorCourt/GeneralStreamAdjudication/gila.asp" TargetMode="External"/><Relationship Id="rId12" Type="http://schemas.openxmlformats.org/officeDocument/2006/relationships/hyperlink" Target="http://www.superiorcourt.maricopa.gov/SuperiorCourt/GeneralStreamAdjudication/littleColorado.asp" TargetMode="External"/><Relationship Id="rId13" Type="http://schemas.openxmlformats.org/officeDocument/2006/relationships/hyperlink" Target="https://www.fennemorelaw.com/first-district-court-rules-californias-validation-law-is-mandatory-and-jurisdictional-in-reverse-validation-actions/" TargetMode="External"/><Relationship Id="rId14" Type="http://schemas.openxmlformats.org/officeDocument/2006/relationships/hyperlink" Target="https://www.fennemorelaw.com/california-supreme-court-clarifies-coastal-commissions-appellate-jurisdiction/" TargetMode="External"/><Relationship Id="rId15" Type="http://schemas.openxmlformats.org/officeDocument/2006/relationships/hyperlink" Target="https://argentco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Lauren J. Caster - Fennemore</dc:title>
  <dcterms:created xsi:type="dcterms:W3CDTF">2026-10-15T23:36:55Z</dcterms:created>
  <dcterms:modified xsi:type="dcterms:W3CDTF">2026-10-15T23:36:55Z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2026-10-15T00:00:00Z</vt:filetime>
  </property>
  <property fmtid="{D5CDD505-2E9C-101B-9397-08002B2CF9AE}" pid="6" name="Producer">
    <vt:lpwstr>Skia/PDF m155</vt:lpwstr>
  </property>
</Properties>
</file>