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EW26 LindseyMorgan bi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965024" y="763308"/>
                            <a:ext cx="119062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LINDSEY MORGAN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82212" y="2133494"/>
                            <a:ext cx="75565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Coeur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d’Alene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208.956.0137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02738" y="2500373"/>
                            <a:ext cx="15151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lmorgan@fennemorelaw.com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NEW26 LindseyMorgan bio.png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0;top:-3887;width:1875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LINDSEY MORGAN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922;top:-1729;width:1190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Coeur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d’Alene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208.956.0137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</w:txbxContent>
                  </v:textbox>
                  <w10:wrap type="none"/>
                </v:shape>
                <v:shape style="position:absolute;left:7324;top:-1151;width:23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lmorgan@fennemorelaw.com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LINDSEY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MORGAN</w:t>
      </w:r>
    </w:p>
    <w:p>
      <w:pPr>
        <w:pStyle w:val="BodyText"/>
        <w:spacing w:line="295" w:lineRule="auto" w:before="146"/>
        <w:ind w:right="360"/>
      </w:pPr>
      <w:r>
        <w:rPr>
          <w:color w:val="6E6158"/>
        </w:rPr>
        <w:t>Lindsey Morgan is an Of Counsel Attorney in Fennemore’s Business Litigation practice group. She</w:t>
      </w:r>
      <w:r>
        <w:rPr>
          <w:color w:val="6E6158"/>
          <w:spacing w:val="40"/>
        </w:rPr>
        <w:t> </w:t>
      </w:r>
      <w:r>
        <w:rPr>
          <w:color w:val="6E6158"/>
        </w:rPr>
        <w:t>represents businesses, business owners, and industry participants in complex disputes, with a</w:t>
      </w:r>
      <w:r>
        <w:rPr>
          <w:color w:val="6E6158"/>
          <w:spacing w:val="40"/>
        </w:rPr>
        <w:t> </w:t>
      </w:r>
      <w:r>
        <w:rPr>
          <w:color w:val="6E6158"/>
        </w:rPr>
        <w:t>practice focused on ownership and control conflicts, commercial litigation, real estate and </w:t>
      </w:r>
      <w:r>
        <w:rPr>
          <w:color w:val="6E6158"/>
        </w:rPr>
        <w:t>land</w:t>
      </w:r>
      <w:r>
        <w:rPr>
          <w:color w:val="6E6158"/>
          <w:spacing w:val="40"/>
        </w:rPr>
        <w:t> </w:t>
      </w:r>
      <w:r>
        <w:rPr>
          <w:color w:val="6E6158"/>
        </w:rPr>
        <w:t>related disputes, insurance issues, and outside general counsel support. She regularly handles</w:t>
      </w:r>
      <w:r>
        <w:rPr>
          <w:color w:val="6E6158"/>
          <w:spacing w:val="40"/>
        </w:rPr>
        <w:t> </w:t>
      </w:r>
      <w:r>
        <w:rPr>
          <w:color w:val="6E6158"/>
        </w:rPr>
        <w:t>matters involving fiduciary duties, governance failures, professional liability, insurance coverage,</w:t>
      </w:r>
      <w:r>
        <w:rPr>
          <w:color w:val="6E6158"/>
          <w:spacing w:val="40"/>
        </w:rPr>
        <w:t> </w:t>
      </w:r>
      <w:r>
        <w:rPr>
          <w:color w:val="6E6158"/>
        </w:rPr>
        <w:t>and business breakups. Lindsey is a leader in Fennemore’s developing Forest Industry initiative,</w:t>
      </w:r>
      <w:r>
        <w:rPr>
          <w:color w:val="6E6158"/>
          <w:spacing w:val="40"/>
        </w:rPr>
        <w:t> </w:t>
      </w:r>
      <w:r>
        <w:rPr>
          <w:color w:val="6E6158"/>
        </w:rPr>
        <w:t>which helps timberland owners, forest products businesses, and other working forest economy</w:t>
      </w:r>
      <w:r>
        <w:rPr>
          <w:color w:val="6E6158"/>
          <w:spacing w:val="40"/>
        </w:rPr>
        <w:t> </w:t>
      </w:r>
      <w:r>
        <w:rPr>
          <w:color w:val="6E6158"/>
        </w:rPr>
        <w:t>participants protect land value, manage operational risk, and execute transactions across the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West.</w:t>
      </w:r>
    </w:p>
    <w:p>
      <w:pPr>
        <w:pStyle w:val="BodyText"/>
        <w:spacing w:line="295" w:lineRule="auto" w:before="205"/>
        <w:ind w:right="146"/>
      </w:pPr>
      <w:r>
        <w:rPr>
          <w:color w:val="6E6158"/>
        </w:rPr>
        <w:t>Prior to joining Fennemore, Lindsey litigated complex commercial matters in California and</w:t>
      </w:r>
      <w:r>
        <w:rPr>
          <w:color w:val="6E6158"/>
          <w:spacing w:val="40"/>
        </w:rPr>
        <w:t> </w:t>
      </w:r>
      <w:r>
        <w:rPr>
          <w:color w:val="6E6158"/>
        </w:rPr>
        <w:t>Washington and served as outside general counsel for closely held businesses and </w:t>
      </w:r>
      <w:r>
        <w:rPr>
          <w:color w:val="6E6158"/>
        </w:rPr>
        <w:t>professionals,</w:t>
      </w:r>
      <w:r>
        <w:rPr>
          <w:color w:val="6E6158"/>
          <w:spacing w:val="40"/>
        </w:rPr>
        <w:t> </w:t>
      </w:r>
      <w:r>
        <w:rPr>
          <w:color w:val="6E6158"/>
        </w:rPr>
        <w:t>advising</w:t>
      </w:r>
      <w:r>
        <w:rPr>
          <w:color w:val="6E6158"/>
          <w:spacing w:val="34"/>
        </w:rPr>
        <w:t> </w:t>
      </w:r>
      <w:r>
        <w:rPr>
          <w:color w:val="6E6158"/>
        </w:rPr>
        <w:t>on</w:t>
      </w:r>
      <w:r>
        <w:rPr>
          <w:color w:val="6E6158"/>
          <w:spacing w:val="34"/>
        </w:rPr>
        <w:t> </w:t>
      </w:r>
      <w:r>
        <w:rPr>
          <w:color w:val="6E6158"/>
        </w:rPr>
        <w:t>litigation</w:t>
      </w:r>
      <w:r>
        <w:rPr>
          <w:color w:val="6E6158"/>
          <w:spacing w:val="34"/>
        </w:rPr>
        <w:t> </w:t>
      </w:r>
      <w:r>
        <w:rPr>
          <w:color w:val="6E6158"/>
        </w:rPr>
        <w:t>risk,</w:t>
      </w:r>
      <w:r>
        <w:rPr>
          <w:color w:val="6E6158"/>
          <w:spacing w:val="34"/>
        </w:rPr>
        <w:t> </w:t>
      </w:r>
      <w:r>
        <w:rPr>
          <w:color w:val="6E6158"/>
        </w:rPr>
        <w:t>governance</w:t>
      </w:r>
      <w:r>
        <w:rPr>
          <w:color w:val="6E6158"/>
          <w:spacing w:val="34"/>
        </w:rPr>
        <w:t> </w:t>
      </w:r>
      <w:r>
        <w:rPr>
          <w:color w:val="6E6158"/>
        </w:rPr>
        <w:t>issues,</w:t>
      </w:r>
      <w:r>
        <w:rPr>
          <w:color w:val="6E6158"/>
          <w:spacing w:val="34"/>
        </w:rPr>
        <w:t> </w:t>
      </w:r>
      <w:r>
        <w:rPr>
          <w:color w:val="6E6158"/>
        </w:rPr>
        <w:t>contracts,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  <w:r>
        <w:rPr>
          <w:color w:val="6E6158"/>
          <w:spacing w:val="34"/>
        </w:rPr>
        <w:t> </w:t>
      </w:r>
      <w:r>
        <w:rPr>
          <w:color w:val="6E6158"/>
        </w:rPr>
        <w:t>avoidance.</w:t>
      </w:r>
      <w:r>
        <w:rPr>
          <w:color w:val="6E6158"/>
          <w:spacing w:val="34"/>
        </w:rPr>
        <w:t> </w:t>
      </w:r>
      <w:r>
        <w:rPr>
          <w:color w:val="6E6158"/>
        </w:rPr>
        <w:t>She</w:t>
      </w:r>
      <w:r>
        <w:rPr>
          <w:color w:val="6E6158"/>
          <w:spacing w:val="34"/>
        </w:rPr>
        <w:t> </w:t>
      </w:r>
      <w:r>
        <w:rPr>
          <w:color w:val="6E6158"/>
        </w:rPr>
        <w:t>has extensive experience representing insurers and insureds in insurance coverage litigation and</w:t>
      </w:r>
      <w:r>
        <w:rPr>
          <w:color w:val="6E6158"/>
          <w:spacing w:val="40"/>
        </w:rPr>
        <w:t> </w:t>
      </w:r>
      <w:r>
        <w:rPr>
          <w:color w:val="6E6158"/>
        </w:rPr>
        <w:t>defending real estate brokerages and their employees and agents in civil litigation. That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35"/>
        </w:rPr>
        <w:t> </w:t>
      </w:r>
      <w:r>
        <w:rPr>
          <w:color w:val="6E6158"/>
        </w:rPr>
        <w:t>informs</w:t>
      </w:r>
      <w:r>
        <w:rPr>
          <w:color w:val="6E6158"/>
          <w:spacing w:val="35"/>
        </w:rPr>
        <w:t> </w:t>
      </w:r>
      <w:r>
        <w:rPr>
          <w:color w:val="6E6158"/>
        </w:rPr>
        <w:t>her</w:t>
      </w:r>
      <w:r>
        <w:rPr>
          <w:color w:val="6E6158"/>
          <w:spacing w:val="35"/>
        </w:rPr>
        <w:t> </w:t>
      </w:r>
      <w:r>
        <w:rPr>
          <w:color w:val="6E6158"/>
        </w:rPr>
        <w:t>approach</w:t>
      </w:r>
      <w:r>
        <w:rPr>
          <w:color w:val="6E6158"/>
          <w:spacing w:val="35"/>
        </w:rPr>
        <w:t> </w:t>
      </w:r>
      <w:r>
        <w:rPr>
          <w:color w:val="6E6158"/>
        </w:rPr>
        <w:t>to</w:t>
      </w:r>
      <w:r>
        <w:rPr>
          <w:color w:val="6E6158"/>
          <w:spacing w:val="35"/>
        </w:rPr>
        <w:t> </w:t>
      </w:r>
      <w:r>
        <w:rPr>
          <w:color w:val="6E6158"/>
        </w:rPr>
        <w:t>risk</w:t>
      </w:r>
      <w:r>
        <w:rPr>
          <w:color w:val="6E6158"/>
          <w:spacing w:val="35"/>
        </w:rPr>
        <w:t> </w:t>
      </w:r>
      <w:r>
        <w:rPr>
          <w:color w:val="6E6158"/>
        </w:rPr>
        <w:t>allocation,</w:t>
      </w:r>
      <w:r>
        <w:rPr>
          <w:color w:val="6E6158"/>
          <w:spacing w:val="35"/>
        </w:rPr>
        <w:t> </w:t>
      </w:r>
      <w:r>
        <w:rPr>
          <w:color w:val="6E6158"/>
        </w:rPr>
        <w:t>dispute</w:t>
      </w:r>
      <w:r>
        <w:rPr>
          <w:color w:val="6E6158"/>
          <w:spacing w:val="35"/>
        </w:rPr>
        <w:t> </w:t>
      </w:r>
      <w:r>
        <w:rPr>
          <w:color w:val="6E6158"/>
        </w:rPr>
        <w:t>prevention,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active</w:t>
      </w:r>
      <w:r>
        <w:rPr>
          <w:color w:val="6E6158"/>
          <w:spacing w:val="35"/>
        </w:rPr>
        <w:t> </w:t>
      </w:r>
      <w:r>
        <w:rPr>
          <w:color w:val="6E6158"/>
        </w:rPr>
        <w:t>litigation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strategy.</w:t>
      </w:r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  <w:ind w:right="360"/>
      </w:pPr>
      <w:r>
        <w:rPr>
          <w:color w:val="6E6158"/>
        </w:rPr>
        <w:t>Lindsey is admitted to practice in California, Washington, and Idaho. Her community work</w:t>
      </w:r>
      <w:r>
        <w:rPr>
          <w:color w:val="6E6158"/>
          <w:spacing w:val="80"/>
        </w:rPr>
        <w:t> </w:t>
      </w:r>
      <w:r>
        <w:rPr>
          <w:color w:val="6E6158"/>
        </w:rPr>
        <w:t>reflects her interest in helping local organizations thrive. She serves on the Coeur d’Alene Public</w:t>
      </w:r>
      <w:r>
        <w:rPr>
          <w:color w:val="6E6158"/>
          <w:spacing w:val="40"/>
        </w:rPr>
        <w:t> </w:t>
      </w:r>
      <w:r>
        <w:rPr>
          <w:color w:val="6E6158"/>
        </w:rPr>
        <w:t>Library</w:t>
      </w:r>
      <w:r>
        <w:rPr>
          <w:color w:val="6E6158"/>
          <w:spacing w:val="26"/>
        </w:rPr>
        <w:t> </w:t>
      </w:r>
      <w:r>
        <w:rPr>
          <w:color w:val="6E6158"/>
        </w:rPr>
        <w:t>Board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Trustees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co-chairs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grants</w:t>
      </w:r>
      <w:r>
        <w:rPr>
          <w:color w:val="6E6158"/>
          <w:spacing w:val="26"/>
        </w:rPr>
        <w:t> </w:t>
      </w:r>
      <w:r>
        <w:rPr>
          <w:color w:val="6E6158"/>
        </w:rPr>
        <w:t>committee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Rotary</w:t>
      </w:r>
      <w:r>
        <w:rPr>
          <w:color w:val="6E6158"/>
          <w:spacing w:val="26"/>
        </w:rPr>
        <w:t> </w:t>
      </w:r>
      <w:r>
        <w:rPr>
          <w:color w:val="6E6158"/>
        </w:rPr>
        <w:t>Club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Coeur</w:t>
      </w:r>
    </w:p>
    <w:p>
      <w:pPr>
        <w:pStyle w:val="BodyText"/>
        <w:spacing w:line="297" w:lineRule="auto" w:before="2"/>
        <w:ind w:right="360"/>
      </w:pPr>
      <w:r>
        <w:rPr>
          <w:color w:val="6E6158"/>
        </w:rPr>
        <w:t>d’Alene. Through the Idaho Academy of Leadership for Lawyers, she is developing </w:t>
      </w:r>
      <w:r>
        <w:rPr>
          <w:color w:val="6E6158"/>
        </w:rPr>
        <w:t>Coeur Foundations, an initiative that helps North Idaho nonprofits strengthen their legal and governance foundations.</w:t>
      </w:r>
    </w:p>
    <w:p>
      <w:pPr>
        <w:pStyle w:val="BodyText"/>
        <w:spacing w:line="297" w:lineRule="auto" w:before="191"/>
      </w:pPr>
      <w:r>
        <w:rPr>
          <w:color w:val="6E6158"/>
        </w:rPr>
        <w:t>Outside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work,</w:t>
      </w:r>
      <w:r>
        <w:rPr>
          <w:color w:val="6E6158"/>
          <w:spacing w:val="30"/>
        </w:rPr>
        <w:t> </w:t>
      </w:r>
      <w:r>
        <w:rPr>
          <w:color w:val="6E6158"/>
        </w:rPr>
        <w:t>Lindsey</w:t>
      </w:r>
      <w:r>
        <w:rPr>
          <w:color w:val="6E6158"/>
          <w:spacing w:val="30"/>
        </w:rPr>
        <w:t> </w:t>
      </w:r>
      <w:r>
        <w:rPr>
          <w:color w:val="6E6158"/>
        </w:rPr>
        <w:t>enjoys</w:t>
      </w:r>
      <w:r>
        <w:rPr>
          <w:color w:val="6E6158"/>
          <w:spacing w:val="30"/>
        </w:rPr>
        <w:t> </w:t>
      </w:r>
      <w:r>
        <w:rPr>
          <w:color w:val="6E6158"/>
        </w:rPr>
        <w:t>spending</w:t>
      </w:r>
      <w:r>
        <w:rPr>
          <w:color w:val="6E6158"/>
          <w:spacing w:val="30"/>
        </w:rPr>
        <w:t> </w:t>
      </w:r>
      <w:r>
        <w:rPr>
          <w:color w:val="6E6158"/>
        </w:rPr>
        <w:t>time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her</w:t>
      </w:r>
      <w:r>
        <w:rPr>
          <w:color w:val="6E6158"/>
          <w:spacing w:val="30"/>
        </w:rPr>
        <w:t> </w:t>
      </w:r>
      <w:r>
        <w:rPr>
          <w:color w:val="6E6158"/>
        </w:rPr>
        <w:t>garden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exploring</w:t>
      </w:r>
      <w:r>
        <w:rPr>
          <w:color w:val="6E6158"/>
          <w:spacing w:val="30"/>
        </w:rPr>
        <w:t> </w:t>
      </w:r>
      <w:r>
        <w:rPr>
          <w:color w:val="6E6158"/>
        </w:rPr>
        <w:t>Idaho’s</w:t>
      </w:r>
      <w:r>
        <w:rPr>
          <w:color w:val="6E6158"/>
          <w:spacing w:val="30"/>
        </w:rPr>
        <w:t> </w:t>
      </w:r>
      <w:r>
        <w:rPr>
          <w:color w:val="6E6158"/>
        </w:rPr>
        <w:t>mountains. She is an avid nonfiction reader, is learning to play golf and mahjong, and does her level best to</w:t>
      </w:r>
      <w:r>
        <w:rPr>
          <w:color w:val="6E6158"/>
          <w:spacing w:val="40"/>
        </w:rPr>
        <w:t> </w:t>
      </w:r>
      <w:r>
        <w:rPr>
          <w:color w:val="6E6158"/>
        </w:rPr>
        <w:t>keep up with her sons.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3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Southern</w:t>
      </w:r>
      <w:r>
        <w:rPr>
          <w:color w:val="6E6158"/>
          <w:spacing w:val="13"/>
        </w:rPr>
        <w:t> </w:t>
      </w:r>
      <w:r>
        <w:rPr>
          <w:color w:val="6E6158"/>
        </w:rPr>
        <w:t>California</w:t>
      </w:r>
      <w:r>
        <w:rPr>
          <w:color w:val="6E6158"/>
          <w:spacing w:val="14"/>
        </w:rPr>
        <w:t> </w:t>
      </w:r>
      <w:r>
        <w:rPr>
          <w:color w:val="6E6158"/>
        </w:rPr>
        <w:t>Gould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B.A.,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2"/>
        </w:rPr>
        <w:t> </w:t>
      </w:r>
      <w:r>
        <w:rPr>
          <w:color w:val="6E6158"/>
        </w:rPr>
        <w:t>Los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Angeles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6883"/>
      </w:pPr>
      <w:r>
        <w:rPr>
          <w:color w:val="6E6158"/>
        </w:rPr>
        <w:t>Business Litigation</w:t>
      </w:r>
      <w:r>
        <w:rPr>
          <w:color w:val="6E6158"/>
          <w:spacing w:val="80"/>
        </w:rPr>
        <w:t> </w:t>
      </w:r>
      <w:r>
        <w:rPr>
          <w:color w:val="6E6158"/>
        </w:rPr>
        <w:t>General Counsel </w:t>
      </w:r>
      <w:r>
        <w:rPr>
          <w:color w:val="6E6158"/>
        </w:rPr>
        <w:t>Services </w:t>
      </w:r>
      <w:r>
        <w:rPr>
          <w:color w:val="6E6158"/>
          <w:spacing w:val="-2"/>
        </w:rPr>
        <w:t>Agribusiness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 w:before="1"/>
        <w:ind w:right="163"/>
        <w:jc w:val="both"/>
      </w:pPr>
      <w:r>
        <w:rPr>
          <w:color w:val="6E6158"/>
        </w:rPr>
        <w:t>Served as outside general counsel to a forestry company, preparing, reviewing, and </w:t>
      </w:r>
      <w:r>
        <w:rPr>
          <w:color w:val="6E6158"/>
        </w:rPr>
        <w:t>negotiating commercial</w:t>
      </w:r>
      <w:r>
        <w:rPr>
          <w:color w:val="6E6158"/>
          <w:spacing w:val="40"/>
        </w:rPr>
        <w:t> </w:t>
      </w:r>
      <w:r>
        <w:rPr>
          <w:color w:val="6E6158"/>
        </w:rPr>
        <w:t>agreements</w:t>
      </w:r>
      <w:r>
        <w:rPr>
          <w:color w:val="6E6158"/>
          <w:spacing w:val="40"/>
        </w:rPr>
        <w:t> </w:t>
      </w:r>
      <w:r>
        <w:rPr>
          <w:color w:val="6E6158"/>
        </w:rPr>
        <w:t>that</w:t>
      </w:r>
      <w:r>
        <w:rPr>
          <w:color w:val="6E6158"/>
          <w:spacing w:val="40"/>
        </w:rPr>
        <w:t> </w:t>
      </w:r>
      <w:r>
        <w:rPr>
          <w:color w:val="6E6158"/>
        </w:rPr>
        <w:t>support</w:t>
      </w:r>
      <w:r>
        <w:rPr>
          <w:color w:val="6E6158"/>
          <w:spacing w:val="40"/>
        </w:rPr>
        <w:t> </w:t>
      </w:r>
      <w:r>
        <w:rPr>
          <w:color w:val="6E6158"/>
        </w:rPr>
        <w:t>operations,</w:t>
      </w:r>
      <w:r>
        <w:rPr>
          <w:color w:val="6E6158"/>
          <w:spacing w:val="40"/>
        </w:rPr>
        <w:t> </w:t>
      </w:r>
      <w:r>
        <w:rPr>
          <w:color w:val="6E6158"/>
        </w:rPr>
        <w:t>manage</w:t>
      </w:r>
      <w:r>
        <w:rPr>
          <w:color w:val="6E6158"/>
          <w:spacing w:val="40"/>
        </w:rPr>
        <w:t> </w:t>
      </w:r>
      <w:r>
        <w:rPr>
          <w:color w:val="6E6158"/>
        </w:rPr>
        <w:t>risk,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prevent</w:t>
      </w:r>
      <w:r>
        <w:rPr>
          <w:color w:val="6E6158"/>
          <w:spacing w:val="40"/>
        </w:rPr>
        <w:t> </w:t>
      </w:r>
      <w:r>
        <w:rPr>
          <w:color w:val="6E6158"/>
        </w:rPr>
        <w:t>disputes.</w:t>
      </w:r>
    </w:p>
    <w:p>
      <w:pPr>
        <w:pStyle w:val="BodyText"/>
        <w:spacing w:before="112"/>
        <w:jc w:val="both"/>
      </w:pPr>
      <w:r>
        <w:rPr>
          <w:color w:val="6E6158"/>
        </w:rPr>
        <w:t>Advised</w:t>
      </w:r>
      <w:r>
        <w:rPr>
          <w:color w:val="6E6158"/>
          <w:spacing w:val="12"/>
        </w:rPr>
        <w:t> </w:t>
      </w:r>
      <w:r>
        <w:rPr>
          <w:color w:val="6E6158"/>
        </w:rPr>
        <w:t>family</w:t>
      </w:r>
      <w:r>
        <w:rPr>
          <w:color w:val="6E6158"/>
          <w:spacing w:val="12"/>
        </w:rPr>
        <w:t> </w:t>
      </w:r>
      <w:r>
        <w:rPr>
          <w:color w:val="6E6158"/>
        </w:rPr>
        <w:t>owners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</w:rPr>
        <w:t>forest</w:t>
      </w:r>
      <w:r>
        <w:rPr>
          <w:color w:val="6E6158"/>
          <w:spacing w:val="13"/>
        </w:rPr>
        <w:t> </w:t>
      </w:r>
      <w:r>
        <w:rPr>
          <w:color w:val="6E6158"/>
        </w:rPr>
        <w:t>property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3"/>
        </w:rPr>
        <w:t> </w:t>
      </w:r>
      <w:r>
        <w:rPr>
          <w:color w:val="6E6158"/>
        </w:rPr>
        <w:t>structuring</w:t>
      </w:r>
      <w:r>
        <w:rPr>
          <w:color w:val="6E6158"/>
          <w:spacing w:val="12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forest-</w:t>
      </w:r>
    </w:p>
    <w:p>
      <w:pPr>
        <w:pStyle w:val="BodyText"/>
        <w:spacing w:line="297" w:lineRule="auto" w:before="52"/>
        <w:ind w:right="186"/>
        <w:jc w:val="both"/>
      </w:pPr>
      <w:r>
        <w:rPr>
          <w:color w:val="6E6158"/>
        </w:rPr>
        <w:t>management enterprise. Designed LLC governance and management agreements supporting timber, carbon-credit, and other forest revenue while preserving land ownership and advancing the family’s tax and estate-planning goals.</w:t>
      </w:r>
    </w:p>
    <w:p>
      <w:pPr>
        <w:pStyle w:val="BodyText"/>
        <w:spacing w:before="118"/>
        <w:jc w:val="both"/>
      </w:pPr>
      <w:r>
        <w:rPr>
          <w:color w:val="6E6158"/>
        </w:rPr>
        <w:t>Represented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timberland</w:t>
      </w:r>
      <w:r>
        <w:rPr>
          <w:color w:val="6E6158"/>
          <w:spacing w:val="13"/>
        </w:rPr>
        <w:t> </w:t>
      </w:r>
      <w:r>
        <w:rPr>
          <w:color w:val="6E6158"/>
        </w:rPr>
        <w:t>owner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quiet</w:t>
      </w:r>
      <w:r>
        <w:rPr>
          <w:color w:val="6E6158"/>
          <w:spacing w:val="13"/>
        </w:rPr>
        <w:t> </w:t>
      </w:r>
      <w:r>
        <w:rPr>
          <w:color w:val="6E6158"/>
        </w:rPr>
        <w:t>title</w:t>
      </w:r>
      <w:r>
        <w:rPr>
          <w:color w:val="6E6158"/>
          <w:spacing w:val="13"/>
        </w:rPr>
        <w:t> </w:t>
      </w:r>
      <w:r>
        <w:rPr>
          <w:color w:val="6E6158"/>
        </w:rPr>
        <w:t>action</w:t>
      </w:r>
      <w:r>
        <w:rPr>
          <w:color w:val="6E6158"/>
          <w:spacing w:val="13"/>
        </w:rPr>
        <w:t> </w:t>
      </w:r>
      <w:r>
        <w:rPr>
          <w:color w:val="6E6158"/>
        </w:rPr>
        <w:t>involving</w:t>
      </w:r>
      <w:r>
        <w:rPr>
          <w:color w:val="6E6158"/>
          <w:spacing w:val="13"/>
        </w:rPr>
        <w:t> </w:t>
      </w:r>
      <w:r>
        <w:rPr>
          <w:color w:val="6E6158"/>
        </w:rPr>
        <w:t>disputed</w:t>
      </w:r>
      <w:r>
        <w:rPr>
          <w:color w:val="6E6158"/>
          <w:spacing w:val="13"/>
        </w:rPr>
        <w:t> </w:t>
      </w:r>
      <w:r>
        <w:rPr>
          <w:color w:val="6E6158"/>
        </w:rPr>
        <w:t>real-property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interests.</w:t>
      </w:r>
    </w:p>
    <w:p>
      <w:pPr>
        <w:pStyle w:val="BodyText"/>
        <w:spacing w:line="292" w:lineRule="auto" w:before="174"/>
      </w:pPr>
      <w:r>
        <w:rPr>
          <w:color w:val="6E6158"/>
        </w:rPr>
        <w:t>Represented a minority owner in an Idaho LLC buyout dispute, including litigation to enforce the</w:t>
      </w:r>
      <w:r>
        <w:rPr>
          <w:color w:val="6E6158"/>
          <w:spacing w:val="40"/>
        </w:rPr>
        <w:t> </w:t>
      </w:r>
      <w:r>
        <w:rPr>
          <w:color w:val="6E6158"/>
        </w:rPr>
        <w:t>operating</w:t>
      </w:r>
      <w:r>
        <w:rPr>
          <w:color w:val="6E6158"/>
          <w:spacing w:val="40"/>
        </w:rPr>
        <w:t> </w:t>
      </w:r>
      <w:r>
        <w:rPr>
          <w:color w:val="6E6158"/>
        </w:rPr>
        <w:t>agreement’s</w:t>
      </w:r>
      <w:r>
        <w:rPr>
          <w:color w:val="6E6158"/>
          <w:spacing w:val="40"/>
        </w:rPr>
        <w:t> </w:t>
      </w:r>
      <w:r>
        <w:rPr>
          <w:color w:val="6E6158"/>
        </w:rPr>
        <w:t>appraisal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financial-disclosure</w:t>
      </w:r>
      <w:r>
        <w:rPr>
          <w:color w:val="6E6158"/>
          <w:spacing w:val="40"/>
        </w:rPr>
        <w:t> </w:t>
      </w:r>
      <w:r>
        <w:rPr>
          <w:color w:val="6E6158"/>
        </w:rPr>
        <w:t>requirements.</w:t>
      </w:r>
      <w:r>
        <w:rPr>
          <w:color w:val="6E6158"/>
          <w:spacing w:val="40"/>
        </w:rPr>
        <w:t> </w:t>
      </w:r>
      <w:r>
        <w:rPr>
          <w:color w:val="6E6158"/>
        </w:rPr>
        <w:t>Negotiated</w:t>
      </w:r>
      <w:r>
        <w:rPr>
          <w:color w:val="6E6158"/>
          <w:spacing w:val="40"/>
        </w:rPr>
        <w:t> </w:t>
      </w:r>
      <w:r>
        <w:rPr>
          <w:color w:val="6E6158"/>
        </w:rPr>
        <w:t>a</w:t>
      </w:r>
    </w:p>
    <w:p>
      <w:pPr>
        <w:pStyle w:val="BodyText"/>
        <w:spacing w:line="292" w:lineRule="auto" w:before="10"/>
        <w:ind w:right="360"/>
      </w:pPr>
      <w:r>
        <w:rPr>
          <w:color w:val="6E6158"/>
        </w:rPr>
        <w:t>settlement that secured payment, a comprehensive release, and the client’s exit from </w:t>
      </w:r>
      <w:r>
        <w:rPr>
          <w:color w:val="6E6158"/>
        </w:rPr>
        <w:t>the </w:t>
      </w:r>
      <w:r>
        <w:rPr>
          <w:color w:val="6E6158"/>
          <w:spacing w:val="-2"/>
        </w:rPr>
        <w:t>company.</w:t>
      </w:r>
    </w:p>
    <w:p>
      <w:pPr>
        <w:pStyle w:val="BodyText"/>
        <w:spacing w:line="297" w:lineRule="auto" w:before="123"/>
        <w:ind w:right="360"/>
      </w:pPr>
      <w:r>
        <w:rPr>
          <w:color w:val="6E6158"/>
        </w:rPr>
        <w:t>Represented a privately held company in its $8.6 million acquisition of commercial property in</w:t>
      </w:r>
      <w:r>
        <w:rPr>
          <w:color w:val="6E6158"/>
          <w:spacing w:val="40"/>
        </w:rPr>
        <w:t> </w:t>
      </w:r>
      <w:r>
        <w:rPr>
          <w:color w:val="6E6158"/>
        </w:rPr>
        <w:t>Tucson, Arizona, including purchase agreement negotiation, title and survey diligence, and</w:t>
      </w:r>
      <w:r>
        <w:rPr>
          <w:color w:val="6E6158"/>
          <w:spacing w:val="40"/>
        </w:rPr>
        <w:t> </w:t>
      </w:r>
      <w:r>
        <w:rPr>
          <w:color w:val="6E6158"/>
        </w:rPr>
        <w:t>escrow and closing coordination through funding and recording.</w:t>
      </w:r>
    </w:p>
    <w:p>
      <w:pPr>
        <w:pStyle w:val="BodyText"/>
        <w:spacing w:line="292" w:lineRule="auto" w:before="118"/>
        <w:ind w:right="146"/>
      </w:pPr>
      <w:r>
        <w:rPr>
          <w:color w:val="6E6158"/>
        </w:rPr>
        <w:t>Represented the sellers of a closely held business in post-closing claims asserted by the buyer in</w:t>
      </w:r>
      <w:r>
        <w:rPr>
          <w:color w:val="6E6158"/>
          <w:spacing w:val="40"/>
        </w:rPr>
        <w:t> </w:t>
      </w:r>
      <w:r>
        <w:rPr>
          <w:color w:val="6E6158"/>
        </w:rPr>
        <w:t>Idaho.</w:t>
      </w:r>
      <w:r>
        <w:rPr>
          <w:color w:val="6E6158"/>
          <w:spacing w:val="34"/>
        </w:rPr>
        <w:t> </w:t>
      </w:r>
      <w:r>
        <w:rPr>
          <w:color w:val="6E6158"/>
        </w:rPr>
        <w:t>Negotiated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settlement</w:t>
      </w:r>
      <w:r>
        <w:rPr>
          <w:color w:val="6E6158"/>
          <w:spacing w:val="34"/>
        </w:rPr>
        <w:t> </w:t>
      </w:r>
      <w:r>
        <w:rPr>
          <w:color w:val="6E6158"/>
        </w:rPr>
        <w:t>agreement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mutual</w:t>
      </w:r>
      <w:r>
        <w:rPr>
          <w:color w:val="6E6158"/>
          <w:spacing w:val="34"/>
        </w:rPr>
        <w:t> </w:t>
      </w:r>
      <w:r>
        <w:rPr>
          <w:color w:val="6E6158"/>
        </w:rPr>
        <w:t>releases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resolved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dispute</w:t>
      </w:r>
    </w:p>
    <w:p>
      <w:pPr>
        <w:pStyle w:val="BodyText"/>
        <w:spacing w:before="9"/>
      </w:pPr>
      <w:r>
        <w:rPr>
          <w:color w:val="6E6158"/>
        </w:rPr>
        <w:t>without</w:t>
      </w:r>
      <w:r>
        <w:rPr>
          <w:color w:val="6E6158"/>
          <w:spacing w:val="11"/>
        </w:rPr>
        <w:t> </w:t>
      </w:r>
      <w:r>
        <w:rPr>
          <w:color w:val="6E6158"/>
        </w:rPr>
        <w:t>litigation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protected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from</w:t>
      </w:r>
      <w:r>
        <w:rPr>
          <w:color w:val="6E6158"/>
          <w:spacing w:val="11"/>
        </w:rPr>
        <w:t> </w:t>
      </w:r>
      <w:r>
        <w:rPr>
          <w:color w:val="6E6158"/>
        </w:rPr>
        <w:t>further</w:t>
      </w:r>
      <w:r>
        <w:rPr>
          <w:color w:val="6E6158"/>
          <w:spacing w:val="12"/>
        </w:rPr>
        <w:t> </w:t>
      </w:r>
      <w:r>
        <w:rPr>
          <w:color w:val="6E6158"/>
        </w:rPr>
        <w:t>claims</w:t>
      </w:r>
      <w:r>
        <w:rPr>
          <w:color w:val="6E6158"/>
          <w:spacing w:val="12"/>
        </w:rPr>
        <w:t> </w:t>
      </w:r>
      <w:r>
        <w:rPr>
          <w:color w:val="6E6158"/>
        </w:rPr>
        <w:t>arising</w:t>
      </w:r>
      <w:r>
        <w:rPr>
          <w:color w:val="6E6158"/>
          <w:spacing w:val="11"/>
        </w:rPr>
        <w:t> </w:t>
      </w:r>
      <w:r>
        <w:rPr>
          <w:color w:val="6E6158"/>
        </w:rPr>
        <w:t>from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transaction.</w:t>
      </w:r>
    </w:p>
    <w:p>
      <w:pPr>
        <w:pStyle w:val="BodyText"/>
        <w:spacing w:line="292" w:lineRule="auto" w:before="174"/>
        <w:ind w:right="146"/>
      </w:pPr>
      <w:r>
        <w:rPr>
          <w:color w:val="6E6158"/>
        </w:rPr>
        <w:t>Represented former property owners in an Idaho easement dispute following the sale of a</w:t>
      </w:r>
      <w:r>
        <w:rPr>
          <w:color w:val="6E6158"/>
          <w:spacing w:val="40"/>
        </w:rPr>
        <w:t> </w:t>
      </w:r>
      <w:r>
        <w:rPr>
          <w:color w:val="6E6158"/>
        </w:rPr>
        <w:t>subdivided parcel. Established that the clients did not draft or control the recorded easement’s</w:t>
      </w:r>
      <w:r>
        <w:rPr>
          <w:color w:val="6E6158"/>
          <w:spacing w:val="40"/>
        </w:rPr>
        <w:t> </w:t>
      </w:r>
      <w:r>
        <w:rPr>
          <w:color w:val="6E6158"/>
        </w:rPr>
        <w:t>legal description and resolved the resulting third-party claims.</w:t>
      </w:r>
    </w:p>
    <w:p>
      <w:pPr>
        <w:pStyle w:val="BodyText"/>
        <w:spacing w:line="292" w:lineRule="auto" w:before="132"/>
        <w:ind w:right="360"/>
      </w:pPr>
      <w:r>
        <w:rPr>
          <w:color w:val="6E6158"/>
        </w:rPr>
        <w:t>Represented homeowners in multi-party HOA and neighborhood litigation in Washington</w:t>
      </w:r>
      <w:r>
        <w:rPr>
          <w:color w:val="6E6158"/>
          <w:spacing w:val="40"/>
        </w:rPr>
        <w:t> </w:t>
      </w:r>
      <w:r>
        <w:rPr>
          <w:color w:val="6E6158"/>
        </w:rPr>
        <w:t>involving association governance, enforcement, and property-use issues. Addressed the </w:t>
      </w:r>
      <w:r>
        <w:rPr>
          <w:color w:val="6E6158"/>
        </w:rPr>
        <w:t>HOA</w:t>
      </w:r>
      <w:r>
        <w:rPr>
          <w:color w:val="6E6158"/>
          <w:spacing w:val="40"/>
        </w:rPr>
        <w:t> </w:t>
      </w:r>
      <w:r>
        <w:rPr>
          <w:color w:val="6E6158"/>
        </w:rPr>
        <w:t>insurer’s defense and indemnity obligations, created settlement leverage, and secured a</w:t>
      </w:r>
      <w:r>
        <w:rPr>
          <w:color w:val="6E6158"/>
          <w:spacing w:val="40"/>
        </w:rPr>
        <w:t> </w:t>
      </w:r>
      <w:r>
        <w:rPr>
          <w:color w:val="6E6158"/>
        </w:rPr>
        <w:t>comprehensive resolution before trial.</w:t>
      </w:r>
    </w:p>
    <w:p>
      <w:pPr>
        <w:pStyle w:val="BodyText"/>
        <w:spacing w:line="292" w:lineRule="auto" w:before="133"/>
        <w:ind w:right="335"/>
        <w:jc w:val="both"/>
      </w:pPr>
      <w:r>
        <w:rPr>
          <w:color w:val="6E6158"/>
        </w:rPr>
        <w:t>Represented a food manufacturer and distributor facing potential product-liability claims after an employee injury in Idaho. Directed a cause-and-origin investigation, preserved key </w:t>
      </w:r>
      <w:r>
        <w:rPr>
          <w:color w:val="6E6158"/>
        </w:rPr>
        <w:t>product evidence,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developed</w:t>
      </w:r>
      <w:r>
        <w:rPr>
          <w:color w:val="6E6158"/>
          <w:spacing w:val="34"/>
        </w:rPr>
        <w:t> </w:t>
      </w:r>
      <w:r>
        <w:rPr>
          <w:color w:val="6E6158"/>
        </w:rPr>
        <w:t>causation</w:t>
      </w:r>
      <w:r>
        <w:rPr>
          <w:color w:val="6E6158"/>
          <w:spacing w:val="34"/>
        </w:rPr>
        <w:t> </w:t>
      </w:r>
      <w:r>
        <w:rPr>
          <w:color w:val="6E6158"/>
        </w:rPr>
        <w:t>defenses</w:t>
      </w:r>
      <w:r>
        <w:rPr>
          <w:color w:val="6E6158"/>
          <w:spacing w:val="34"/>
        </w:rPr>
        <w:t> </w:t>
      </w:r>
      <w:r>
        <w:rPr>
          <w:color w:val="6E6158"/>
        </w:rPr>
        <w:t>that</w:t>
      </w:r>
      <w:r>
        <w:rPr>
          <w:color w:val="6E6158"/>
          <w:spacing w:val="34"/>
        </w:rPr>
        <w:t> </w:t>
      </w:r>
      <w:r>
        <w:rPr>
          <w:color w:val="6E6158"/>
        </w:rPr>
        <w:t>allowed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client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avoid</w:t>
      </w:r>
      <w:r>
        <w:rPr>
          <w:color w:val="6E6158"/>
          <w:spacing w:val="34"/>
        </w:rPr>
        <w:t> </w:t>
      </w:r>
      <w:r>
        <w:rPr>
          <w:color w:val="6E6158"/>
        </w:rPr>
        <w:t>litigation.</w:t>
      </w:r>
    </w:p>
    <w:p>
      <w:pPr>
        <w:pStyle w:val="BodyText"/>
        <w:spacing w:line="295" w:lineRule="auto" w:before="124"/>
        <w:ind w:right="231"/>
        <w:jc w:val="both"/>
      </w:pPr>
      <w:r>
        <w:rPr>
          <w:color w:val="6E6158"/>
        </w:rPr>
        <w:t>Represented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nonparty</w:t>
      </w:r>
      <w:r>
        <w:rPr>
          <w:color w:val="6E6158"/>
          <w:spacing w:val="22"/>
        </w:rPr>
        <w:t> </w:t>
      </w:r>
      <w:r>
        <w:rPr>
          <w:color w:val="6E6158"/>
        </w:rPr>
        <w:t>witness</w:t>
      </w:r>
      <w:r>
        <w:rPr>
          <w:color w:val="6E6158"/>
          <w:spacing w:val="23"/>
        </w:rPr>
        <w:t> </w:t>
      </w:r>
      <w:r>
        <w:rPr>
          <w:color w:val="6E6158"/>
        </w:rPr>
        <w:t>served</w:t>
      </w:r>
      <w:r>
        <w:rPr>
          <w:color w:val="6E6158"/>
          <w:spacing w:val="23"/>
        </w:rPr>
        <w:t> </w:t>
      </w:r>
      <w:r>
        <w:rPr>
          <w:color w:val="6E6158"/>
        </w:rPr>
        <w:t>with</w:t>
      </w:r>
      <w:r>
        <w:rPr>
          <w:color w:val="6E6158"/>
          <w:spacing w:val="22"/>
        </w:rPr>
        <w:t> </w:t>
      </w:r>
      <w:r>
        <w:rPr>
          <w:color w:val="6E6158"/>
        </w:rPr>
        <w:t>sweeping</w:t>
      </w:r>
      <w:r>
        <w:rPr>
          <w:color w:val="6E6158"/>
          <w:spacing w:val="23"/>
        </w:rPr>
        <w:t> </w:t>
      </w:r>
      <w:r>
        <w:rPr>
          <w:color w:val="6E6158"/>
        </w:rPr>
        <w:t>document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deposition</w:t>
      </w:r>
      <w:r>
        <w:rPr>
          <w:color w:val="6E6158"/>
          <w:spacing w:val="23"/>
        </w:rPr>
        <w:t> </w:t>
      </w:r>
      <w:r>
        <w:rPr>
          <w:color w:val="6E6158"/>
        </w:rPr>
        <w:t>subpoenas</w:t>
      </w:r>
      <w:r>
        <w:rPr>
          <w:color w:val="6E6158"/>
          <w:spacing w:val="23"/>
        </w:rPr>
        <w:t> </w:t>
      </w:r>
      <w:r>
        <w:rPr>
          <w:color w:val="6E6158"/>
        </w:rPr>
        <w:t>in a contentious personal dispute. Obtained an order quashing the subpoenas as overbroad and unduly burdensome, restricting further discovery absent court approval, and awarding </w:t>
      </w:r>
      <w:r>
        <w:rPr>
          <w:color w:val="6E6158"/>
        </w:rPr>
        <w:t>attorney fees and costs.</w:t>
      </w:r>
    </w:p>
    <w:p>
      <w:pPr>
        <w:pStyle w:val="BodyText"/>
        <w:spacing w:line="302" w:lineRule="auto" w:before="123"/>
        <w:ind w:right="626"/>
        <w:jc w:val="both"/>
      </w:pPr>
      <w:r>
        <w:rPr>
          <w:color w:val="6E6158"/>
        </w:rPr>
        <w:t>Defended national and regional real estate and insurance brokerages, as well as </w:t>
      </w:r>
      <w:r>
        <w:rPr>
          <w:color w:val="6E6158"/>
        </w:rPr>
        <w:t>individual professionals,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high-exposure</w:t>
      </w:r>
      <w:r>
        <w:rPr>
          <w:color w:val="6E6158"/>
          <w:spacing w:val="40"/>
        </w:rPr>
        <w:t> </w:t>
      </w:r>
      <w:r>
        <w:rPr>
          <w:color w:val="6E6158"/>
        </w:rPr>
        <w:t>errors-and-omissions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professional-liability</w:t>
      </w:r>
      <w:r>
        <w:rPr>
          <w:color w:val="6E6158"/>
          <w:spacing w:val="40"/>
        </w:rPr>
        <w:t> </w:t>
      </w:r>
      <w:r>
        <w:rPr>
          <w:color w:val="6E6158"/>
        </w:rPr>
        <w:t>matters.</w:t>
      </w:r>
    </w:p>
    <w:p>
      <w:pPr>
        <w:pStyle w:val="BodyText"/>
        <w:spacing w:line="292" w:lineRule="auto" w:before="113"/>
        <w:ind w:right="730"/>
        <w:jc w:val="both"/>
      </w:pPr>
      <w:r>
        <w:rPr>
          <w:color w:val="6E6158"/>
        </w:rPr>
        <w:t>Defended corporate clients in multimillion-dollar commercial real estate litigation </w:t>
      </w:r>
      <w:r>
        <w:rPr>
          <w:color w:val="6E6158"/>
        </w:rPr>
        <w:t>involving complex causation, insurance-allocation, and multistate issues.</w:t>
      </w:r>
    </w:p>
    <w:p>
      <w:pPr>
        <w:pStyle w:val="BodyText"/>
        <w:spacing w:after="0" w:line="292" w:lineRule="auto"/>
        <w:jc w:val="both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</w:pPr>
      <w:r>
        <w:rPr>
          <w:color w:val="6E6158"/>
        </w:rPr>
        <w:t>Obtained summary judgment for a national real estate brokerage and its agent in an Alameda</w:t>
      </w:r>
      <w:r>
        <w:rPr>
          <w:color w:val="6E6158"/>
          <w:spacing w:val="40"/>
        </w:rPr>
        <w:t> </w:t>
      </w:r>
      <w:r>
        <w:rPr>
          <w:color w:val="6E6158"/>
        </w:rPr>
        <w:t>County nondisclosure action.</w:t>
      </w:r>
    </w:p>
    <w:p>
      <w:pPr>
        <w:pStyle w:val="BodyText"/>
        <w:spacing w:line="292" w:lineRule="auto" w:before="132"/>
      </w:pPr>
      <w:r>
        <w:rPr>
          <w:color w:val="6E6158"/>
        </w:rPr>
        <w:t>Defended a privately owned San Francisco public utility in property-damage and personal-</w:t>
      </w:r>
      <w:r>
        <w:rPr>
          <w:color w:val="6E6158"/>
        </w:rPr>
        <w:t>injury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claims.</w:t>
      </w:r>
    </w:p>
    <w:p>
      <w:pPr>
        <w:spacing w:line="288" w:lineRule="auto"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Served as liaison counsel for insurer defendants in </w:t>
      </w:r>
      <w:r>
        <w:rPr>
          <w:i/>
          <w:color w:val="6E6158"/>
          <w:sz w:val="20"/>
        </w:rPr>
        <w:t>Montrose Chemical Corp. of California v.</w:t>
      </w:r>
      <w:r>
        <w:rPr>
          <w:i/>
          <w:color w:val="6E6158"/>
          <w:sz w:val="20"/>
        </w:rPr>
        <w:t> Superior Court</w:t>
      </w:r>
      <w:r>
        <w:rPr>
          <w:color w:val="6E6158"/>
          <w:sz w:val="19"/>
        </w:rPr>
        <w:t>, a California Supreme Court matter addressing exhaustion of excess </w:t>
      </w:r>
      <w:r>
        <w:rPr>
          <w:color w:val="6E6158"/>
          <w:sz w:val="19"/>
        </w:rPr>
        <w:t>insurance coverage for continuous environmental damage.</w:t>
      </w:r>
    </w:p>
    <w:p>
      <w:pPr>
        <w:pStyle w:val="BodyText"/>
        <w:spacing w:before="115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Deep Roots: Estate Planning for a Working Family Forest,” NAEPC Journal of Estate &amp; Tax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Planning</w:t>
        </w:r>
      </w:hyperlink>
      <w:r>
        <w:rPr>
          <w:color w:val="6E6158"/>
        </w:rPr>
        <w:t>,” October 2026</w:t>
      </w:r>
    </w:p>
    <w:p>
      <w:pPr>
        <w:pStyle w:val="BodyText"/>
        <w:spacing w:line="302" w:lineRule="auto" w:before="124"/>
        <w:ind w:right="360"/>
      </w:pPr>
      <w:r>
        <w:rPr>
          <w:color w:val="6E6158"/>
        </w:rPr>
        <w:t>Presenter, “Disputes as Data: What Northwest Litigation Reveals About Timberland </w:t>
      </w:r>
      <w:r>
        <w:rPr>
          <w:color w:val="6E6158"/>
        </w:rPr>
        <w:t>Investment Risk,” World Forestry Center Canopy 2026, September 17, 2026</w:t>
      </w:r>
    </w:p>
    <w:p>
      <w:pPr>
        <w:pStyle w:val="BodyText"/>
        <w:spacing w:line="292" w:lineRule="auto" w:before="112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Proposed Roadless Rule Rescission Could Expand Western Timber Access, but Not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Overnight</w:t>
        </w:r>
      </w:hyperlink>
      <w:r>
        <w:rPr>
          <w:color w:val="6E6158"/>
        </w:rPr>
        <w:t>,” Fennemore Blog, September 2, 2026</w:t>
      </w:r>
    </w:p>
    <w:p>
      <w:pPr>
        <w:pStyle w:val="BodyText"/>
        <w:spacing w:line="292" w:lineRule="auto" w:before="132"/>
        <w:ind w:right="360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The Forest Taught Me to Think Long-Term: My Approach to Practical Lawyering,</w:t>
        </w:r>
      </w:hyperlink>
      <w:r>
        <w:rPr>
          <w:color w:val="6E6158"/>
        </w:rPr>
        <w:t>” Fennemore Article, August 16, 2026</w:t>
      </w:r>
    </w:p>
    <w:p>
      <w:pPr>
        <w:pStyle w:val="BodyText"/>
        <w:spacing w:line="292" w:lineRule="auto" w:before="123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Your Contractor Has Insurance. That Doesn’t Mean You’re Covered</w:t>
        </w:r>
      </w:hyperlink>
      <w:r>
        <w:rPr>
          <w:color w:val="6E6158"/>
        </w:rPr>
        <w:t>,” Fennemore Blog, August 7, 2026</w:t>
      </w:r>
    </w:p>
    <w:p>
      <w:pPr>
        <w:pStyle w:val="BodyText"/>
        <w:spacing w:line="292" w:lineRule="auto" w:before="131"/>
        <w:ind w:right="360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A Quiet Rule Change and the Long View of Western Forests</w:t>
        </w:r>
      </w:hyperlink>
      <w:r>
        <w:rPr>
          <w:color w:val="6E6158"/>
        </w:rPr>
        <w:t>,” Fennemore Blog, July 24,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24"/>
      </w:pPr>
      <w:r>
        <w:rPr>
          <w:color w:val="6E6158"/>
        </w:rPr>
        <w:t>Author, “</w:t>
      </w:r>
      <w:hyperlink r:id="rId16">
        <w:r>
          <w:rPr>
            <w:color w:val="F5821F"/>
          </w:rPr>
          <w:t>Bill Puts Disaster Recovery Cash in Forest Landowners’ Hands Before Restoration </w:t>
        </w:r>
        <w:r>
          <w:rPr>
            <w:color w:val="F5821F"/>
          </w:rPr>
          <w:t>Work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Begins</w:t>
        </w:r>
      </w:hyperlink>
      <w:r>
        <w:rPr>
          <w:color w:val="6E6158"/>
        </w:rPr>
        <w:t>,” Fennemore Blog, July 7, 2026</w:t>
      </w:r>
    </w:p>
    <w:p>
      <w:pPr>
        <w:pStyle w:val="BodyText"/>
        <w:spacing w:line="292" w:lineRule="auto" w:before="131"/>
        <w:ind w:right="146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Idaho Supreme Court Clarifies Direct and Derivative Claims in Family Entity </w:t>
        </w:r>
        <w:r>
          <w:rPr>
            <w:color w:val="F5821F"/>
          </w:rPr>
          <w:t>Disputes</w:t>
        </w:r>
      </w:hyperlink>
      <w:r>
        <w:rPr>
          <w:color w:val="6E6158"/>
        </w:rPr>
        <w:t>,” Fennemore Blog, June 15, 2026</w:t>
      </w:r>
    </w:p>
    <w:p>
      <w:pPr>
        <w:pStyle w:val="BodyText"/>
        <w:spacing w:line="292" w:lineRule="auto" w:before="123"/>
        <w:ind w:right="360"/>
      </w:pPr>
      <w:r>
        <w:rPr>
          <w:color w:val="6E6158"/>
        </w:rPr>
        <w:t>Co-Author, “</w:t>
      </w:r>
      <w:hyperlink r:id="rId18">
        <w:r>
          <w:rPr>
            <w:color w:val="F5821F"/>
          </w:rPr>
          <w:t>From Access to Advancement: Mentorship and Sponsorship for Women Lawyers </w:t>
        </w:r>
        <w:r>
          <w:rPr>
            <w:color w:val="F5821F"/>
          </w:rPr>
          <w:t>in</w:t>
        </w:r>
      </w:hyperlink>
      <w:r>
        <w:rPr>
          <w:color w:val="F5821F"/>
        </w:rPr>
        <w:t> </w:t>
      </w:r>
      <w:hyperlink r:id="rId18">
        <w:r>
          <w:rPr>
            <w:color w:val="F5821F"/>
          </w:rPr>
          <w:t>Idaho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by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Lindsey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Morgan,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Kathleen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M.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Carr,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Alycia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Moss,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Catherine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Renshaw,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28"/>
          </w:rPr>
          <w:t> </w:t>
        </w:r>
        <w:r>
          <w:rPr>
            <w:color w:val="F5821F"/>
          </w:rPr>
          <w:t>Katie</w:t>
        </w:r>
      </w:hyperlink>
    </w:p>
    <w:p>
      <w:pPr>
        <w:pStyle w:val="BodyText"/>
        <w:spacing w:before="10"/>
      </w:pPr>
      <w:hyperlink r:id="rId18">
        <w:r>
          <w:rPr>
            <w:color w:val="F5821F"/>
          </w:rPr>
          <w:t>Sheftic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Idaho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</w:pPr>
      <w:r>
        <w:rPr>
          <w:color w:val="6E6158"/>
        </w:rPr>
        <w:t>Author, “</w:t>
      </w:r>
      <w:hyperlink r:id="rId19">
        <w:r>
          <w:rPr>
            <w:color w:val="F5821F"/>
          </w:rPr>
          <w:t>Read Before You Sign: What Forestland Owners Need to Know About Biomass, Biochar,</w:t>
        </w:r>
      </w:hyperlink>
      <w:r>
        <w:rPr>
          <w:color w:val="F5821F"/>
        </w:rPr>
        <w:t> </w:t>
      </w:r>
      <w:hyperlink r:id="rId19">
        <w:r>
          <w:rPr>
            <w:color w:val="F5821F"/>
          </w:rPr>
          <w:t>Carbon, and Other Forest Revenue Agreements</w:t>
        </w:r>
      </w:hyperlink>
      <w:r>
        <w:rPr>
          <w:color w:val="6E6158"/>
        </w:rPr>
        <w:t>,” Fennemore Blog, June 4, 2026</w:t>
      </w:r>
    </w:p>
    <w:p>
      <w:pPr>
        <w:pStyle w:val="BodyText"/>
        <w:spacing w:line="292" w:lineRule="auto" w:before="131"/>
        <w:ind w:right="146"/>
      </w:pPr>
      <w:r>
        <w:rPr>
          <w:color w:val="6E6158"/>
        </w:rPr>
        <w:t>Author, “</w:t>
      </w:r>
      <w:hyperlink r:id="rId20">
        <w:r>
          <w:rPr>
            <w:color w:val="F5821F"/>
          </w:rPr>
          <w:t>When Heirs Inherit Forestland, They Get More Than Trees</w:t>
        </w:r>
      </w:hyperlink>
      <w:r>
        <w:rPr>
          <w:color w:val="6E6158"/>
        </w:rPr>
        <w:t>,” Wealth Management, June 3,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23"/>
        <w:ind w:right="146"/>
      </w:pPr>
      <w:r>
        <w:rPr>
          <w:color w:val="6E6158"/>
        </w:rPr>
        <w:t>Author, “</w:t>
      </w:r>
      <w:hyperlink r:id="rId21">
        <w:r>
          <w:rPr>
            <w:color w:val="F5821F"/>
          </w:rPr>
          <w:t>Private Forest Landowners Face a Convergence of Legal and Business Risk</w:t>
        </w:r>
      </w:hyperlink>
      <w:r>
        <w:rPr>
          <w:color w:val="6E6158"/>
        </w:rPr>
        <w:t>,” Fennemore</w:t>
      </w:r>
      <w:r>
        <w:rPr>
          <w:color w:val="6E6158"/>
          <w:spacing w:val="40"/>
        </w:rPr>
        <w:t> </w:t>
      </w:r>
      <w:r>
        <w:rPr>
          <w:color w:val="6E6158"/>
        </w:rPr>
        <w:t>Blog, May 19, 2026</w:t>
      </w:r>
    </w:p>
    <w:p>
      <w:pPr>
        <w:pStyle w:val="BodyText"/>
        <w:spacing w:line="420" w:lineRule="auto" w:before="132"/>
        <w:ind w:right="360"/>
      </w:pPr>
      <w:r>
        <w:rPr>
          <w:color w:val="6E6158"/>
        </w:rPr>
        <w:t>Guest Lecturer, “Legal Accountability,” North Idaho College Nursing Program, Feb. </w:t>
      </w:r>
      <w:r>
        <w:rPr>
          <w:color w:val="6E6158"/>
        </w:rPr>
        <w:t>2024 Presenter, Risk Management Seminar, Contra Costa Association of Realtor, 2019-2020</w:t>
      </w:r>
    </w:p>
    <w:p>
      <w:pPr>
        <w:pStyle w:val="Heading1"/>
        <w:spacing w:before="28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2" w:lineRule="auto"/>
        <w:ind w:right="1963"/>
        <w:jc w:val="both"/>
      </w:pPr>
      <w:r>
        <w:rPr>
          <w:color w:val="6E6158"/>
        </w:rPr>
        <w:t>Board Member, Coeur d’Alene Public Library Board of Trustees (2026–</w:t>
      </w:r>
      <w:r>
        <w:rPr>
          <w:color w:val="6E6158"/>
        </w:rPr>
        <w:t>present) Co-Chair, Grants Committee, Rotary Club of Coeur d’Alene (2025 to present) Member, Idaho Women Lawyers</w:t>
      </w:r>
    </w:p>
    <w:p>
      <w:pPr>
        <w:pStyle w:val="BodyText"/>
        <w:spacing w:after="0" w:line="422" w:lineRule="auto"/>
        <w:jc w:val="both"/>
        <w:sectPr>
          <w:pgSz w:w="12240" w:h="15840"/>
          <w:pgMar w:top="500" w:bottom="280" w:left="1440" w:right="1440"/>
        </w:sectPr>
      </w:pPr>
    </w:p>
    <w:p>
      <w:pPr>
        <w:pStyle w:val="BodyText"/>
        <w:spacing w:line="420" w:lineRule="auto" w:before="83"/>
        <w:ind w:right="1160"/>
      </w:pPr>
      <w:r>
        <w:rPr>
          <w:color w:val="6E6158"/>
        </w:rPr>
        <w:t>Member, 2025-2026 class of the Idaho Academy of Leadership for Lawyers </w:t>
      </w:r>
      <w:r>
        <w:rPr>
          <w:color w:val="6E6158"/>
        </w:rPr>
        <w:t>(IALL) Magnet Committee Liason, Sorensen Magnet School (2023-2025)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6061"/>
      </w:pPr>
      <w:r>
        <w:rPr>
          <w:color w:val="6E6158"/>
        </w:rPr>
        <w:t>Idaho (state and federal) California (state and federal) Washington (state and </w:t>
      </w:r>
      <w:r>
        <w:rPr>
          <w:color w:val="6E6158"/>
        </w:rPr>
        <w:t>federal) Ninth 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coeur-dalene/" TargetMode="External"/><Relationship Id="rId10" Type="http://schemas.openxmlformats.org/officeDocument/2006/relationships/hyperlink" Target="mailto:lmorgan@fennemorelaw.com" TargetMode="External"/><Relationship Id="rId11" Type="http://schemas.openxmlformats.org/officeDocument/2006/relationships/hyperlink" Target="https://www.naepcjournal.org/issue/49/deep-roots-estate-planning-for-a-working-family-forest/" TargetMode="External"/><Relationship Id="rId12" Type="http://schemas.openxmlformats.org/officeDocument/2006/relationships/hyperlink" Target="https://www.fennemorelaw.com/proposed-roadless-rule-rescission-could-expand-western-timber-access-but-not-overnight/" TargetMode="External"/><Relationship Id="rId13" Type="http://schemas.openxmlformats.org/officeDocument/2006/relationships/hyperlink" Target="https://www.fennemorelaw.com/the-forest-taught-me-to-think-long-term-my-approach-to-practical-lawyering/" TargetMode="External"/><Relationship Id="rId14" Type="http://schemas.openxmlformats.org/officeDocument/2006/relationships/hyperlink" Target="https://www.fennemorelaw.com/your-contractor-has-insurance-that-doesnt-mean-youre-covered/" TargetMode="External"/><Relationship Id="rId15" Type="http://schemas.openxmlformats.org/officeDocument/2006/relationships/hyperlink" Target="https://www.fennemorelaw.com/a-quiet-rule-change-and-the-long-view-of-western-forests/" TargetMode="External"/><Relationship Id="rId16" Type="http://schemas.openxmlformats.org/officeDocument/2006/relationships/hyperlink" Target="https://www.fennemorelaw.com/bill-puts-disaster-recovery-cash-in-forest-landowners-hands-before-restoration-work-begins/" TargetMode="External"/><Relationship Id="rId17" Type="http://schemas.openxmlformats.org/officeDocument/2006/relationships/hyperlink" Target="https://www.fennemorelaw.com/idaho-supreme-court-clarifies-direct-and-derivative-claims-in-family-entity-disputes/" TargetMode="External"/><Relationship Id="rId18" Type="http://schemas.openxmlformats.org/officeDocument/2006/relationships/hyperlink" Target="https://isb.idaho.gov/blog/from-access-to-advancement-mentorship-and-sponsorship-for-women-lawyers-in-idaho-by-lindsey-a-morgan-kathleen-m-carr-alycia-moss-catherine-renshaw-and-katie-sheftic/" TargetMode="External"/><Relationship Id="rId19" Type="http://schemas.openxmlformats.org/officeDocument/2006/relationships/hyperlink" Target="https://www.fennemorelaw.com/read-before-you-sign-what-forestland-owners-need-to-know-about-biomass-biochar-carbon-and-other-forest-revenue-agreements/" TargetMode="External"/><Relationship Id="rId20" Type="http://schemas.openxmlformats.org/officeDocument/2006/relationships/hyperlink" Target="https://www.wealthmanagement.com/estate-planning/when-heirs-inherit-forestland-they-get-more-than-trees" TargetMode="External"/><Relationship Id="rId21" Type="http://schemas.openxmlformats.org/officeDocument/2006/relationships/hyperlink" Target="https://www.fennemorelaw.com/private-forest-landowners-face-a-convergence-of-legal-and-business-risk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Lindsey Morgan - Fennemore</dc:title>
  <dcterms:created xsi:type="dcterms:W3CDTF">2026-10-27T21:11:05Z</dcterms:created>
  <dcterms:modified xsi:type="dcterms:W3CDTF">2026-10-27T21:11:05Z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2026-10-27T00:00:00Z</vt:filetime>
  </property>
  <property fmtid="{D5CDD505-2E9C-101B-9397-08002B2CF9AE}" pid="6" name="Producer">
    <vt:lpwstr>Skia/PDF m156</vt:lpwstr>
  </property>
</Properties>
</file>