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7" w:lineRule="auto" w:before="1"/>
        <w:ind w:right="3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Ryan Curti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32619" y="1369338"/>
                            <a:ext cx="18395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9595" h="320675">
                                <a:moveTo>
                                  <a:pt x="1839556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39556" y="320382"/>
                                </a:lnTo>
                                <a:lnTo>
                                  <a:pt x="1839556" y="315214"/>
                                </a:lnTo>
                                <a:close/>
                              </a:path>
                              <a:path w="1839595" h="320675">
                                <a:moveTo>
                                  <a:pt x="183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39556" y="5168"/>
                                </a:lnTo>
                                <a:lnTo>
                                  <a:pt x="183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34719" y="763308"/>
                            <a:ext cx="185102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RYAN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C.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CURTIS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ERISA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52482" y="1859626"/>
                            <a:ext cx="1815464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19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602.916.5426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602.916.5626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rcurtis@fennemorelaw.com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18633" y="3482163"/>
                            <a:ext cx="345059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doesn't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abide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majority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rule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person's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conscience.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-Atticus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Finch,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Kill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Mockingbird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17856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RYAN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CURTIS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Ryan Curtis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056;top:-5016;width:2897;height:505" id="docshape6" coordorigin="7057,-5016" coordsize="2897,505" path="m9954,-4520l7057,-4520,7057,-4511,9954,-4511,9954,-4520xm9954,-5016l7057,-5016,7057,-5008,9954,-5008,9954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60;top:-5971;width:2915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RYAN</w:t>
                        </w:r>
                        <w:r>
                          <w:rPr>
                            <w:color w:val="FFFFFF"/>
                            <w:spacing w:val="-2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C.</w:t>
                        </w:r>
                        <w:r>
                          <w:rPr>
                            <w:color w:val="FFFFFF"/>
                            <w:spacing w:val="-2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CURTIS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ERISA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88;top:-4244;width:2859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619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602.916.5426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602.916.5626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rcurtis@fennemorelaw.com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12;top:-1689;width:5434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doesn't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abide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majority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rule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person's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conscience.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-Atticus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Finch,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Kill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Mockingbird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856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RYAN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C.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CURTIS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Ryan</w:t>
      </w:r>
      <w:r>
        <w:rPr>
          <w:color w:val="6E6158"/>
          <w:spacing w:val="27"/>
        </w:rPr>
        <w:t> </w:t>
      </w:r>
      <w:r>
        <w:rPr>
          <w:color w:val="6E6158"/>
        </w:rPr>
        <w:t>Curtis</w:t>
      </w:r>
      <w:r>
        <w:rPr>
          <w:color w:val="6E6158"/>
          <w:spacing w:val="27"/>
        </w:rPr>
        <w:t> </w:t>
      </w:r>
      <w:r>
        <w:rPr>
          <w:color w:val="6E6158"/>
        </w:rPr>
        <w:t>is</w:t>
      </w:r>
      <w:r>
        <w:rPr>
          <w:color w:val="6E6158"/>
          <w:spacing w:val="27"/>
        </w:rPr>
        <w:t> </w:t>
      </w:r>
      <w:r>
        <w:rPr>
          <w:color w:val="6E6158"/>
        </w:rPr>
        <w:t>chair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our</w:t>
      </w:r>
      <w:r>
        <w:rPr>
          <w:color w:val="6E6158"/>
          <w:spacing w:val="27"/>
        </w:rPr>
        <w:t> </w:t>
      </w:r>
      <w:r>
        <w:rPr>
          <w:color w:val="6E6158"/>
        </w:rPr>
        <w:t>ERISA</w:t>
      </w:r>
      <w:r>
        <w:rPr>
          <w:color w:val="6E6158"/>
          <w:spacing w:val="27"/>
        </w:rPr>
        <w:t> </w:t>
      </w:r>
      <w:r>
        <w:rPr>
          <w:color w:val="6E6158"/>
        </w:rPr>
        <w:t>(Employee</w:t>
      </w:r>
      <w:r>
        <w:rPr>
          <w:color w:val="6E6158"/>
          <w:spacing w:val="27"/>
        </w:rPr>
        <w:t> </w:t>
      </w:r>
      <w:r>
        <w:rPr>
          <w:color w:val="6E6158"/>
        </w:rPr>
        <w:t>Retirement</w:t>
      </w:r>
      <w:r>
        <w:rPr>
          <w:color w:val="6E6158"/>
          <w:spacing w:val="27"/>
        </w:rPr>
        <w:t> </w:t>
      </w:r>
      <w:r>
        <w:rPr>
          <w:color w:val="6E6158"/>
        </w:rPr>
        <w:t>Income</w:t>
      </w:r>
      <w:r>
        <w:rPr>
          <w:color w:val="6E6158"/>
          <w:spacing w:val="27"/>
        </w:rPr>
        <w:t> </w:t>
      </w:r>
      <w:r>
        <w:rPr>
          <w:color w:val="6E6158"/>
        </w:rPr>
        <w:t>Security</w:t>
      </w:r>
      <w:r>
        <w:rPr>
          <w:color w:val="6E6158"/>
          <w:spacing w:val="27"/>
        </w:rPr>
        <w:t> </w:t>
      </w:r>
      <w:r>
        <w:rPr>
          <w:color w:val="6E6158"/>
        </w:rPr>
        <w:t>Act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1974)</w:t>
      </w:r>
      <w:r>
        <w:rPr>
          <w:color w:val="6E6158"/>
          <w:spacing w:val="27"/>
        </w:rPr>
        <w:t> </w:t>
      </w:r>
      <w:r>
        <w:rPr>
          <w:color w:val="6E6158"/>
        </w:rPr>
        <w:t>and employee benefits practice group. In order to attract and retain quality people, employers must</w:t>
      </w:r>
      <w:r>
        <w:rPr>
          <w:color w:val="6E6158"/>
          <w:spacing w:val="40"/>
        </w:rPr>
        <w:t> </w:t>
      </w:r>
      <w:r>
        <w:rPr>
          <w:color w:val="6E6158"/>
        </w:rPr>
        <w:t>offer competitive benefits packages. Providing healthcare and retirement benefits can also</w:t>
      </w:r>
      <w:r>
        <w:rPr>
          <w:color w:val="6E6158"/>
          <w:spacing w:val="40"/>
        </w:rPr>
        <w:t> </w:t>
      </w:r>
      <w:r>
        <w:rPr>
          <w:color w:val="6E6158"/>
        </w:rPr>
        <w:t>increase employee loyalty and productivity. As a sought-after ERISA lawyer, Ryan takes great</w:t>
      </w:r>
      <w:r>
        <w:rPr>
          <w:color w:val="6E6158"/>
          <w:spacing w:val="80"/>
        </w:rPr>
        <w:t> </w:t>
      </w:r>
      <w:r>
        <w:rPr>
          <w:color w:val="6E6158"/>
        </w:rPr>
        <w:t>pride in tackling significant problems and developing solutions for his clients that will ensure their</w:t>
      </w:r>
      <w:r>
        <w:rPr>
          <w:color w:val="6E6158"/>
          <w:spacing w:val="40"/>
        </w:rPr>
        <w:t> </w:t>
      </w:r>
      <w:r>
        <w:rPr>
          <w:color w:val="6E6158"/>
        </w:rPr>
        <w:t>businesses comply with complex regulations.</w:t>
      </w:r>
    </w:p>
    <w:p>
      <w:pPr>
        <w:pStyle w:val="BodyText"/>
        <w:spacing w:line="292" w:lineRule="auto" w:before="187"/>
        <w:ind w:right="352"/>
      </w:pPr>
      <w:r>
        <w:rPr>
          <w:color w:val="6E6158"/>
        </w:rPr>
        <w:t>Ryan and his team focus on counseling employers with the administration of their benefit </w:t>
      </w:r>
      <w:r>
        <w:rPr>
          <w:color w:val="6E6158"/>
        </w:rPr>
        <w:t>plans,</w:t>
      </w:r>
      <w:r>
        <w:rPr>
          <w:color w:val="6E6158"/>
          <w:spacing w:val="40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well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helping</w:t>
      </w:r>
      <w:r>
        <w:rPr>
          <w:color w:val="6E6158"/>
          <w:spacing w:val="32"/>
        </w:rPr>
        <w:t> </w:t>
      </w:r>
      <w:r>
        <w:rPr>
          <w:color w:val="6E6158"/>
        </w:rPr>
        <w:t>trustees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administrators</w:t>
      </w:r>
      <w:r>
        <w:rPr>
          <w:color w:val="6E6158"/>
          <w:spacing w:val="32"/>
        </w:rPr>
        <w:t> </w:t>
      </w:r>
      <w:r>
        <w:rPr>
          <w:color w:val="6E6158"/>
        </w:rPr>
        <w:t>comply</w:t>
      </w:r>
      <w:r>
        <w:rPr>
          <w:color w:val="6E6158"/>
          <w:spacing w:val="32"/>
        </w:rPr>
        <w:t> </w:t>
      </w:r>
      <w:r>
        <w:rPr>
          <w:color w:val="6E6158"/>
        </w:rPr>
        <w:t>with</w:t>
      </w:r>
      <w:r>
        <w:rPr>
          <w:color w:val="6E6158"/>
          <w:spacing w:val="32"/>
        </w:rPr>
        <w:t> </w:t>
      </w:r>
      <w:r>
        <w:rPr>
          <w:color w:val="6E6158"/>
        </w:rPr>
        <w:t>important</w:t>
      </w:r>
      <w:r>
        <w:rPr>
          <w:color w:val="6E6158"/>
          <w:spacing w:val="32"/>
        </w:rPr>
        <w:t> </w:t>
      </w:r>
      <w:r>
        <w:rPr>
          <w:color w:val="6E6158"/>
        </w:rPr>
        <w:t>federal</w:t>
      </w:r>
      <w:r>
        <w:rPr>
          <w:color w:val="6E6158"/>
          <w:spacing w:val="32"/>
        </w:rPr>
        <w:t> </w:t>
      </w:r>
      <w:r>
        <w:rPr>
          <w:color w:val="6E6158"/>
        </w:rPr>
        <w:t>laws,</w:t>
      </w:r>
      <w:r>
        <w:rPr>
          <w:color w:val="6E6158"/>
          <w:spacing w:val="32"/>
        </w:rPr>
        <w:t> </w:t>
      </w:r>
      <w:r>
        <w:rPr>
          <w:color w:val="6E6158"/>
        </w:rPr>
        <w:t>including</w:t>
      </w:r>
    </w:p>
    <w:p>
      <w:pPr>
        <w:pStyle w:val="BodyText"/>
        <w:spacing w:line="295" w:lineRule="auto" w:before="9"/>
        <w:ind w:right="394"/>
      </w:pPr>
      <w:r>
        <w:rPr>
          <w:color w:val="6E6158"/>
        </w:rPr>
        <w:t>ERISA, the Affordable Care Act, COBRA, and HIPAA. He reviews and consults on a variety of qualified plan issues, including drafting, revising, and terminating 401(k) plans, profit sharing</w:t>
      </w:r>
      <w:r>
        <w:rPr>
          <w:color w:val="6E6158"/>
          <w:spacing w:val="40"/>
        </w:rPr>
        <w:t> </w:t>
      </w:r>
      <w:r>
        <w:rPr>
          <w:color w:val="6E6158"/>
        </w:rPr>
        <w:t>plans, ESOPs, and pension plans. He guides clients through IRS audits and U.S.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Labor investigations. As a litigator, he has defended plans in benefit disputes, pursued plan participants</w:t>
      </w:r>
      <w:r>
        <w:rPr>
          <w:color w:val="6E6158"/>
          <w:spacing w:val="20"/>
        </w:rPr>
        <w:t> </w:t>
      </w:r>
      <w:r>
        <w:rPr>
          <w:color w:val="6E6158"/>
        </w:rPr>
        <w:t>who</w:t>
      </w:r>
      <w:r>
        <w:rPr>
          <w:color w:val="6E6158"/>
          <w:spacing w:val="20"/>
        </w:rPr>
        <w:t> </w:t>
      </w:r>
      <w:r>
        <w:rPr>
          <w:color w:val="6E6158"/>
        </w:rPr>
        <w:t>improperly</w:t>
      </w:r>
      <w:r>
        <w:rPr>
          <w:color w:val="6E6158"/>
          <w:spacing w:val="20"/>
        </w:rPr>
        <w:t> </w:t>
      </w:r>
      <w:r>
        <w:rPr>
          <w:color w:val="6E6158"/>
        </w:rPr>
        <w:t>received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retained</w:t>
      </w:r>
      <w:r>
        <w:rPr>
          <w:color w:val="6E6158"/>
          <w:spacing w:val="20"/>
        </w:rPr>
        <w:t> </w:t>
      </w:r>
      <w:r>
        <w:rPr>
          <w:color w:val="6E6158"/>
        </w:rPr>
        <w:t>benefits,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held</w:t>
      </w:r>
      <w:r>
        <w:rPr>
          <w:color w:val="6E6158"/>
          <w:spacing w:val="20"/>
        </w:rPr>
        <w:t> </w:t>
      </w:r>
      <w:r>
        <w:rPr>
          <w:color w:val="6E6158"/>
        </w:rPr>
        <w:t>investment</w:t>
      </w:r>
      <w:r>
        <w:rPr>
          <w:color w:val="6E6158"/>
          <w:spacing w:val="20"/>
        </w:rPr>
        <w:t> </w:t>
      </w:r>
      <w:r>
        <w:rPr>
          <w:color w:val="6E6158"/>
        </w:rPr>
        <w:t>managers</w:t>
      </w:r>
    </w:p>
    <w:p>
      <w:pPr>
        <w:pStyle w:val="BodyText"/>
        <w:spacing w:line="295" w:lineRule="auto"/>
        <w:ind w:right="264"/>
      </w:pPr>
      <w:r>
        <w:rPr>
          <w:color w:val="6E6158"/>
        </w:rPr>
        <w:t>accountable who engaged in prohibited transactions and breached their fiduciary duty. Ryan</w:t>
      </w:r>
      <w:r>
        <w:rPr>
          <w:color w:val="6E6158"/>
          <w:spacing w:val="40"/>
        </w:rPr>
        <w:t> </w:t>
      </w:r>
      <w:r>
        <w:rPr>
          <w:color w:val="6E6158"/>
        </w:rPr>
        <w:t>also helps employers that have obligations to Taft-Hartley multiemployer plans navigate through</w:t>
      </w:r>
      <w:r>
        <w:rPr>
          <w:color w:val="6E6158"/>
          <w:spacing w:val="40"/>
        </w:rPr>
        <w:t> </w:t>
      </w:r>
      <w:r>
        <w:rPr>
          <w:color w:val="6E6158"/>
        </w:rPr>
        <w:t>issues related to benefit trust fund contributions and withdrawal liability. He works closely with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firm’s business and finance practice group in performing benefit plan due diligence work in</w:t>
      </w:r>
      <w:r>
        <w:rPr>
          <w:color w:val="6E6158"/>
          <w:spacing w:val="40"/>
        </w:rPr>
        <w:t> </w:t>
      </w:r>
      <w:r>
        <w:rPr>
          <w:color w:val="6E6158"/>
        </w:rPr>
        <w:t>mergers and acquisitions.</w:t>
      </w:r>
    </w:p>
    <w:p>
      <w:pPr>
        <w:pStyle w:val="BodyText"/>
        <w:spacing w:line="295" w:lineRule="auto" w:before="195"/>
        <w:ind w:right="352"/>
      </w:pPr>
      <w:r>
        <w:rPr>
          <w:color w:val="6E6158"/>
        </w:rPr>
        <w:t>Ryan is a member of the IRS Pacific Coast TE/GE Council, which is composed of private</w:t>
      </w:r>
      <w:r>
        <w:rPr>
          <w:color w:val="6E6158"/>
          <w:spacing w:val="40"/>
        </w:rPr>
        <w:t> </w:t>
      </w:r>
      <w:r>
        <w:rPr>
          <w:color w:val="6E6158"/>
        </w:rPr>
        <w:t>practitioners and serves as a sounding board to the IRS on matters related to retirement policy,</w:t>
      </w:r>
      <w:r>
        <w:rPr>
          <w:color w:val="6E6158"/>
          <w:spacing w:val="40"/>
        </w:rPr>
        <w:t> </w:t>
      </w:r>
      <w:r>
        <w:rPr>
          <w:color w:val="6E6158"/>
        </w:rPr>
        <w:t>tax issues, procedures, and IRS enforcement initiatives affecting employee benefits. Ryan also</w:t>
      </w:r>
      <w:r>
        <w:rPr>
          <w:color w:val="6E6158"/>
          <w:spacing w:val="40"/>
        </w:rPr>
        <w:t> </w:t>
      </w:r>
      <w:r>
        <w:rPr>
          <w:color w:val="6E6158"/>
        </w:rPr>
        <w:t>serves on the Board of Directors for the Greater Phoenix Chamber of Commerce and currently</w:t>
      </w:r>
      <w:r>
        <w:rPr>
          <w:color w:val="6E6158"/>
          <w:spacing w:val="40"/>
        </w:rPr>
        <w:t> </w:t>
      </w:r>
      <w:r>
        <w:rPr>
          <w:color w:val="6E6158"/>
        </w:rPr>
        <w:t>serves as its general counsel. Prior to his legal career, Ryan was a senior legislative analyst and</w:t>
      </w:r>
      <w:r>
        <w:rPr>
          <w:color w:val="6E6158"/>
          <w:spacing w:val="40"/>
        </w:rPr>
        <w:t> </w:t>
      </w:r>
      <w:r>
        <w:rPr>
          <w:color w:val="6E6158"/>
        </w:rPr>
        <w:t>performance auditor with the Arizona Office of the Auditor General. While there, he oversaw</w:t>
      </w:r>
      <w:r>
        <w:rPr>
          <w:color w:val="6E6158"/>
          <w:spacing w:val="40"/>
        </w:rPr>
        <w:t> </w:t>
      </w:r>
      <w:r>
        <w:rPr>
          <w:color w:val="6E6158"/>
        </w:rPr>
        <w:t>several audits of state agencies including Arizona’s Medicaid program.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7" w:lineRule="auto" w:before="83"/>
        <w:ind w:right="352"/>
      </w:pPr>
      <w:r>
        <w:rPr>
          <w:color w:val="6E6158"/>
        </w:rPr>
        <w:t>Outside of the office, Ryan plays golf and tennis and enjoys Arizona’s outdoor opportunities</w:t>
      </w:r>
      <w:r>
        <w:rPr>
          <w:color w:val="6E6158"/>
          <w:spacing w:val="40"/>
        </w:rPr>
        <w:t> </w:t>
      </w:r>
      <w:r>
        <w:rPr>
          <w:color w:val="6E6158"/>
        </w:rPr>
        <w:t>including hiking, fishing, and exploring offroad trails. Married and the father of three children,</w:t>
      </w:r>
      <w:r>
        <w:rPr>
          <w:color w:val="6E6158"/>
          <w:spacing w:val="40"/>
        </w:rPr>
        <w:t> </w:t>
      </w:r>
      <w:r>
        <w:rPr>
          <w:color w:val="6E6158"/>
        </w:rPr>
        <w:t>some of his best memories are of his kids’ music, drama, and sporting events.</w:t>
      </w:r>
    </w:p>
    <w:p>
      <w:pPr>
        <w:pStyle w:val="Heading2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917"/>
      </w:pPr>
      <w:r>
        <w:rPr>
          <w:color w:val="6E6158"/>
        </w:rPr>
        <w:t>J.D., University of Wyoming College of </w:t>
      </w:r>
      <w:r>
        <w:rPr>
          <w:color w:val="6E6158"/>
        </w:rPr>
        <w:t>Law</w:t>
      </w:r>
      <w:r>
        <w:rPr>
          <w:color w:val="6E6158"/>
        </w:rPr>
        <w:t> M.A., Political Science, University of Utah</w:t>
      </w:r>
    </w:p>
    <w:p>
      <w:pPr>
        <w:pStyle w:val="BodyText"/>
        <w:spacing w:line="231" w:lineRule="exact"/>
      </w:pPr>
      <w:r>
        <w:rPr>
          <w:color w:val="6E6158"/>
        </w:rPr>
        <w:t>B.A.,</w:t>
      </w:r>
      <w:r>
        <w:rPr>
          <w:color w:val="6E6158"/>
          <w:spacing w:val="13"/>
        </w:rPr>
        <w:t> </w:t>
      </w:r>
      <w:r>
        <w:rPr>
          <w:color w:val="6E6158"/>
        </w:rPr>
        <w:t>Political</w:t>
      </w:r>
      <w:r>
        <w:rPr>
          <w:color w:val="6E6158"/>
          <w:spacing w:val="13"/>
        </w:rPr>
        <w:t> </w:t>
      </w:r>
      <w:r>
        <w:rPr>
          <w:color w:val="6E6158"/>
        </w:rPr>
        <w:t>Science,</w:t>
      </w:r>
      <w:r>
        <w:rPr>
          <w:color w:val="6E6158"/>
          <w:spacing w:val="13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University</w:t>
      </w:r>
    </w:p>
    <w:p>
      <w:pPr>
        <w:spacing w:before="17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Managing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Wyoming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Review,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Wyoming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College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5"/>
          <w:sz w:val="19"/>
        </w:rPr>
        <w:t>Law</w:t>
      </w:r>
    </w:p>
    <w:p>
      <w:pPr>
        <w:pStyle w:val="BodyText"/>
        <w:spacing w:before="161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  <w:spacing w:line="420" w:lineRule="auto" w:before="1"/>
        <w:ind w:right="7237"/>
      </w:pPr>
      <w:r>
        <w:rPr>
          <w:color w:val="6E6158"/>
        </w:rPr>
        <w:t>Retirement Plans Health Care </w:t>
      </w:r>
      <w:r>
        <w:rPr>
          <w:color w:val="6E6158"/>
        </w:rPr>
        <w:t>Plans</w:t>
      </w:r>
    </w:p>
    <w:p>
      <w:pPr>
        <w:pStyle w:val="BodyText"/>
        <w:spacing w:line="231" w:lineRule="exact"/>
      </w:pPr>
      <w:r>
        <w:rPr>
          <w:color w:val="6E6158"/>
        </w:rPr>
        <w:t>Multiemployer</w:t>
      </w:r>
      <w:r>
        <w:rPr>
          <w:color w:val="6E6158"/>
          <w:spacing w:val="19"/>
        </w:rPr>
        <w:t> </w:t>
      </w:r>
      <w:r>
        <w:rPr>
          <w:color w:val="6E6158"/>
        </w:rPr>
        <w:t>Plan</w:t>
      </w:r>
      <w:r>
        <w:rPr>
          <w:color w:val="6E6158"/>
          <w:spacing w:val="20"/>
        </w:rPr>
        <w:t> </w:t>
      </w:r>
      <w:r>
        <w:rPr>
          <w:color w:val="6E6158"/>
        </w:rPr>
        <w:t>Withdrawal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Liability</w:t>
      </w:r>
    </w:p>
    <w:p>
      <w:pPr>
        <w:pStyle w:val="BodyText"/>
        <w:spacing w:before="62"/>
        <w:ind w:left="0"/>
      </w:pPr>
    </w:p>
    <w:p>
      <w:pPr>
        <w:pStyle w:val="BodyText"/>
        <w:spacing w:before="1"/>
      </w:pPr>
      <w:r>
        <w:rPr>
          <w:color w:val="6E6158"/>
          <w:spacing w:val="-2"/>
        </w:rPr>
        <w:t>ERISA</w:t>
      </w:r>
    </w:p>
    <w:p>
      <w:pPr>
        <w:pStyle w:val="BodyText"/>
        <w:spacing w:line="420" w:lineRule="auto" w:before="182"/>
        <w:ind w:right="7237"/>
      </w:pPr>
      <w:r>
        <w:rPr>
          <w:color w:val="6E6158"/>
        </w:rPr>
        <w:t>Labor &amp; </w:t>
      </w:r>
      <w:r>
        <w:rPr>
          <w:color w:val="6E6158"/>
        </w:rPr>
        <w:t>Employment Health Care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292" w:lineRule="auto"/>
        <w:ind w:right="229"/>
      </w:pPr>
      <w:hyperlink r:id="rId11">
        <w:r>
          <w:rPr>
            <w:color w:val="F5821F"/>
          </w:rPr>
          <w:t>Defended Walker Specialty Construction against more than $5 million in withdrawal liability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payments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related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its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cessation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work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within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union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pension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plan’s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jurisdiction.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result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a unanimous win in the Ninth Circuit Court of Appeals, Walker had no withdrawal liability and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received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reimbursement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for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payments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made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during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litigation,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plus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interest.</w:t>
        </w:r>
      </w:hyperlink>
    </w:p>
    <w:p>
      <w:pPr>
        <w:pStyle w:val="BodyText"/>
        <w:spacing w:line="292" w:lineRule="auto" w:before="133"/>
        <w:ind w:right="264"/>
      </w:pPr>
      <w:r>
        <w:rPr>
          <w:color w:val="6E6158"/>
        </w:rPr>
        <w:t>Defended plan sponsor in lengthy Department of Labor investigation of a terminated ESOP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the related transactions and negotiated a significantly reduced penalty.</w:t>
      </w:r>
    </w:p>
    <w:p>
      <w:pPr>
        <w:pStyle w:val="BodyText"/>
        <w:spacing w:line="295" w:lineRule="auto" w:before="123"/>
        <w:ind w:right="201"/>
      </w:pPr>
      <w:r>
        <w:rPr>
          <w:color w:val="6E6158"/>
        </w:rPr>
        <w:t>Successfully defended a large governmental retirement plan before the Arizona Supreme </w:t>
      </w:r>
      <w:r>
        <w:rPr>
          <w:color w:val="6E6158"/>
        </w:rPr>
        <w:t>Court</w:t>
      </w:r>
      <w:r>
        <w:rPr>
          <w:color w:val="6E6158"/>
          <w:spacing w:val="40"/>
        </w:rPr>
        <w:t> </w:t>
      </w:r>
      <w:r>
        <w:rPr>
          <w:color w:val="6E6158"/>
        </w:rPr>
        <w:t>defeating a claim by a plan participant seeking retroactive retirement benefits based on the</w:t>
      </w:r>
      <w:r>
        <w:rPr>
          <w:color w:val="6E6158"/>
          <w:spacing w:val="80"/>
        </w:rPr>
        <w:t> </w:t>
      </w:r>
      <w:r>
        <w:rPr>
          <w:color w:val="6E6158"/>
        </w:rPr>
        <w:t>date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participant</w:t>
      </w:r>
      <w:r>
        <w:rPr>
          <w:color w:val="6E6158"/>
          <w:spacing w:val="23"/>
        </w:rPr>
        <w:t> </w:t>
      </w:r>
      <w:r>
        <w:rPr>
          <w:color w:val="6E6158"/>
        </w:rPr>
        <w:t>first</w:t>
      </w:r>
      <w:r>
        <w:rPr>
          <w:color w:val="6E6158"/>
          <w:spacing w:val="23"/>
        </w:rPr>
        <w:t> </w:t>
      </w:r>
      <w:r>
        <w:rPr>
          <w:color w:val="6E6158"/>
        </w:rPr>
        <w:t>became</w:t>
      </w:r>
      <w:r>
        <w:rPr>
          <w:color w:val="6E6158"/>
          <w:spacing w:val="23"/>
        </w:rPr>
        <w:t> </w:t>
      </w:r>
      <w:r>
        <w:rPr>
          <w:color w:val="6E6158"/>
        </w:rPr>
        <w:t>eligible</w:t>
      </w:r>
      <w:r>
        <w:rPr>
          <w:color w:val="6E6158"/>
          <w:spacing w:val="23"/>
        </w:rPr>
        <w:t> </w:t>
      </w:r>
      <w:r>
        <w:rPr>
          <w:color w:val="6E6158"/>
        </w:rPr>
        <w:t>rather</w:t>
      </w:r>
      <w:r>
        <w:rPr>
          <w:color w:val="6E6158"/>
          <w:spacing w:val="23"/>
        </w:rPr>
        <w:t> </w:t>
      </w:r>
      <w:r>
        <w:rPr>
          <w:color w:val="6E6158"/>
        </w:rPr>
        <w:t>than</w:t>
      </w:r>
      <w:r>
        <w:rPr>
          <w:color w:val="6E6158"/>
          <w:spacing w:val="23"/>
        </w:rPr>
        <w:t> </w:t>
      </w:r>
      <w:r>
        <w:rPr>
          <w:color w:val="6E6158"/>
        </w:rPr>
        <w:t>when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participant</w:t>
      </w:r>
      <w:r>
        <w:rPr>
          <w:color w:val="6E6158"/>
          <w:spacing w:val="23"/>
        </w:rPr>
        <w:t> </w:t>
      </w:r>
      <w:r>
        <w:rPr>
          <w:color w:val="6E6158"/>
        </w:rPr>
        <w:t>applied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benefits as required under Arizona law.</w:t>
      </w:r>
    </w:p>
    <w:p>
      <w:pPr>
        <w:pStyle w:val="BodyText"/>
        <w:spacing w:line="292" w:lineRule="auto" w:before="124"/>
        <w:ind w:right="264"/>
      </w:pPr>
      <w:r>
        <w:rPr>
          <w:color w:val="6E6158"/>
        </w:rPr>
        <w:t>Defended large charter school organization in lengthy and complex investigation of its </w:t>
      </w:r>
      <w:r>
        <w:rPr>
          <w:color w:val="6E6158"/>
        </w:rPr>
        <w:t>health</w:t>
      </w:r>
      <w:r>
        <w:rPr>
          <w:color w:val="6E6158"/>
          <w:spacing w:val="40"/>
        </w:rPr>
        <w:t> </w:t>
      </w:r>
      <w:r>
        <w:rPr>
          <w:color w:val="6E6158"/>
        </w:rPr>
        <w:t>plan by the Department of Labor. The investigation closed with no negative findings.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Defended plan sponsor in lengthy Department of Labor investigation involving $9 million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alleged</w:t>
      </w:r>
      <w:r>
        <w:rPr>
          <w:color w:val="6E6158"/>
          <w:spacing w:val="26"/>
        </w:rPr>
        <w:t> </w:t>
      </w:r>
      <w:r>
        <w:rPr>
          <w:color w:val="6E6158"/>
        </w:rPr>
        <w:t>plan</w:t>
      </w:r>
      <w:r>
        <w:rPr>
          <w:color w:val="6E6158"/>
          <w:spacing w:val="26"/>
        </w:rPr>
        <w:t> </w:t>
      </w:r>
      <w:r>
        <w:rPr>
          <w:color w:val="6E6158"/>
        </w:rPr>
        <w:t>losses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other</w:t>
      </w:r>
      <w:r>
        <w:rPr>
          <w:color w:val="6E6158"/>
          <w:spacing w:val="26"/>
        </w:rPr>
        <w:t> </w:t>
      </w:r>
      <w:r>
        <w:rPr>
          <w:color w:val="6E6158"/>
        </w:rPr>
        <w:t>restitution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negotiated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resolution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just</w:t>
      </w:r>
      <w:r>
        <w:rPr>
          <w:color w:val="6E6158"/>
          <w:spacing w:val="26"/>
        </w:rPr>
        <w:t> </w:t>
      </w:r>
      <w:r>
        <w:rPr>
          <w:color w:val="6E6158"/>
        </w:rPr>
        <w:t>3%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what</w:t>
      </w:r>
    </w:p>
    <w:p>
      <w:pPr>
        <w:pStyle w:val="BodyText"/>
        <w:spacing w:before="1"/>
      </w:pPr>
      <w:r>
        <w:rPr>
          <w:color w:val="6E6158"/>
        </w:rPr>
        <w:t>Department</w:t>
      </w:r>
      <w:r>
        <w:rPr>
          <w:color w:val="6E6158"/>
          <w:spacing w:val="20"/>
        </w:rPr>
        <w:t> </w:t>
      </w:r>
      <w:r>
        <w:rPr>
          <w:color w:val="6E6158"/>
        </w:rPr>
        <w:t>originally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sought.</w:t>
      </w:r>
    </w:p>
    <w:p>
      <w:pPr>
        <w:pStyle w:val="BodyText"/>
        <w:spacing w:line="292" w:lineRule="auto" w:before="182"/>
        <w:ind w:right="264"/>
      </w:pPr>
      <w:r>
        <w:rPr>
          <w:color w:val="6E6158"/>
        </w:rPr>
        <w:t>Defended health insurance carrier involved in a Department of Labor investigation of a</w:t>
      </w:r>
      <w:r>
        <w:rPr>
          <w:color w:val="6E6158"/>
          <w:spacing w:val="40"/>
        </w:rPr>
        <w:t> </w:t>
      </w:r>
      <w:r>
        <w:rPr>
          <w:color w:val="6E6158"/>
        </w:rPr>
        <w:t>multiemployer health plan the carrier insured. The investigation focused on processes the </w:t>
      </w:r>
      <w:r>
        <w:rPr>
          <w:color w:val="6E6158"/>
        </w:rPr>
        <w:t>carrier</w:t>
      </w:r>
      <w:r>
        <w:rPr>
          <w:color w:val="6E6158"/>
          <w:spacing w:val="40"/>
        </w:rPr>
        <w:t> </w:t>
      </w:r>
      <w:r>
        <w:rPr>
          <w:color w:val="6E6158"/>
        </w:rPr>
        <w:t>administered but closed with no findings against the carrier.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52"/>
      </w:pPr>
      <w:r>
        <w:rPr>
          <w:color w:val="6E6158"/>
        </w:rPr>
        <w:t>Obtained judgment against a company created to avoid multiemployer benefit trust </w:t>
      </w:r>
      <w:r>
        <w:rPr>
          <w:color w:val="6E6158"/>
        </w:rPr>
        <w:t>fund</w:t>
      </w:r>
      <w:r>
        <w:rPr>
          <w:color w:val="6E6158"/>
          <w:spacing w:val="40"/>
        </w:rPr>
        <w:t> </w:t>
      </w:r>
      <w:r>
        <w:rPr>
          <w:color w:val="6E6158"/>
        </w:rPr>
        <w:t>obligations owed by a prior alter ego company.</w:t>
      </w:r>
    </w:p>
    <w:p>
      <w:pPr>
        <w:pStyle w:val="BodyText"/>
        <w:spacing w:line="292" w:lineRule="auto" w:before="132"/>
        <w:ind w:right="352"/>
      </w:pPr>
      <w:r>
        <w:rPr>
          <w:color w:val="6E6158"/>
        </w:rPr>
        <w:t>Obtained judgment against individual owners of a company for fiduciary liability tied to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company’s failure to make all contributions to multiemployer benefit trust funds.</w:t>
      </w:r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Assisted in obtaining judgment against pension plan’s investment manager and </w:t>
      </w:r>
      <w:r>
        <w:rPr>
          <w:color w:val="6E6158"/>
        </w:rPr>
        <w:t>investment</w:t>
      </w:r>
      <w:r>
        <w:rPr>
          <w:color w:val="6E6158"/>
          <w:spacing w:val="40"/>
        </w:rPr>
        <w:t> </w:t>
      </w:r>
      <w:r>
        <w:rPr>
          <w:color w:val="6E6158"/>
        </w:rPr>
        <w:t>consultant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overcharging</w:t>
      </w:r>
      <w:r>
        <w:rPr>
          <w:color w:val="6E6158"/>
          <w:spacing w:val="40"/>
        </w:rPr>
        <w:t> </w:t>
      </w:r>
      <w:r>
        <w:rPr>
          <w:color w:val="6E6158"/>
        </w:rPr>
        <w:t>commissions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engaging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prohibited</w:t>
      </w:r>
      <w:r>
        <w:rPr>
          <w:color w:val="6E6158"/>
          <w:spacing w:val="40"/>
        </w:rPr>
        <w:t> </w:t>
      </w:r>
      <w:r>
        <w:rPr>
          <w:color w:val="6E6158"/>
        </w:rPr>
        <w:t>transactions.</w:t>
      </w:r>
    </w:p>
    <w:p>
      <w:pPr>
        <w:pStyle w:val="BodyText"/>
        <w:spacing w:before="131"/>
      </w:pPr>
      <w:r>
        <w:rPr>
          <w:color w:val="6E6158"/>
        </w:rPr>
        <w:t>Assisted</w:t>
      </w:r>
      <w:r>
        <w:rPr>
          <w:color w:val="6E6158"/>
          <w:spacing w:val="13"/>
        </w:rPr>
        <w:t> </w:t>
      </w:r>
      <w:r>
        <w:rPr>
          <w:color w:val="6E6158"/>
        </w:rPr>
        <w:t>numerous</w:t>
      </w:r>
      <w:r>
        <w:rPr>
          <w:color w:val="6E6158"/>
          <w:spacing w:val="13"/>
        </w:rPr>
        <w:t> </w:t>
      </w:r>
      <w:r>
        <w:rPr>
          <w:color w:val="6E6158"/>
        </w:rPr>
        <w:t>employee</w:t>
      </w:r>
      <w:r>
        <w:rPr>
          <w:color w:val="6E6158"/>
          <w:spacing w:val="13"/>
        </w:rPr>
        <w:t> </w:t>
      </w:r>
      <w:r>
        <w:rPr>
          <w:color w:val="6E6158"/>
        </w:rPr>
        <w:t>benefit</w:t>
      </w:r>
      <w:r>
        <w:rPr>
          <w:color w:val="6E6158"/>
          <w:spacing w:val="13"/>
        </w:rPr>
        <w:t> </w:t>
      </w:r>
      <w:r>
        <w:rPr>
          <w:color w:val="6E6158"/>
        </w:rPr>
        <w:t>plans</w:t>
      </w:r>
      <w:r>
        <w:rPr>
          <w:color w:val="6E6158"/>
          <w:spacing w:val="14"/>
        </w:rPr>
        <w:t> </w:t>
      </w:r>
      <w:r>
        <w:rPr>
          <w:color w:val="6E6158"/>
        </w:rPr>
        <w:t>during</w:t>
      </w:r>
      <w:r>
        <w:rPr>
          <w:color w:val="6E6158"/>
          <w:spacing w:val="13"/>
        </w:rPr>
        <w:t> </w:t>
      </w:r>
      <w:r>
        <w:rPr>
          <w:color w:val="6E6158"/>
        </w:rPr>
        <w:t>IRS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Department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Labor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audits.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line="408" w:lineRule="auto" w:before="0"/>
        <w:ind w:left="99" w:right="2191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America®</w:t>
      </w:r>
      <w:r>
        <w:rPr>
          <w:color w:val="6E6158"/>
          <w:sz w:val="19"/>
        </w:rPr>
        <w:t>, Employee Benefits (ERISA) Law, </w:t>
      </w:r>
      <w:r>
        <w:rPr>
          <w:color w:val="6E6158"/>
          <w:sz w:val="19"/>
        </w:rPr>
        <w:t>2027 Distinguished Legal Writing Award, Law360, 2024</w:t>
      </w:r>
    </w:p>
    <w:p>
      <w:pPr>
        <w:spacing w:before="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 USA,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2024</w:t>
      </w:r>
    </w:p>
    <w:p>
      <w:pPr>
        <w:pStyle w:val="BodyText"/>
        <w:spacing w:before="170"/>
      </w:pPr>
      <w:r>
        <w:rPr>
          <w:color w:val="6E6158"/>
        </w:rPr>
        <w:t>Chambers</w:t>
      </w:r>
      <w:r>
        <w:rPr>
          <w:color w:val="6E6158"/>
          <w:spacing w:val="16"/>
        </w:rPr>
        <w:t> </w:t>
      </w:r>
      <w:r>
        <w:rPr>
          <w:color w:val="6E6158"/>
        </w:rPr>
        <w:t>USA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3"/>
          <w:sz w:val="20"/>
        </w:rPr>
        <w:t> </w:t>
      </w:r>
      <w:r>
        <w:rPr>
          <w:color w:val="6E6158"/>
        </w:rPr>
        <w:t>Employee</w:t>
      </w:r>
      <w:r>
        <w:rPr>
          <w:color w:val="6E6158"/>
          <w:spacing w:val="16"/>
        </w:rPr>
        <w:t> </w:t>
      </w:r>
      <w:r>
        <w:rPr>
          <w:color w:val="6E6158"/>
        </w:rPr>
        <w:t>Benefits</w:t>
      </w:r>
      <w:r>
        <w:rPr>
          <w:color w:val="6E6158"/>
          <w:spacing w:val="16"/>
        </w:rPr>
        <w:t> </w:t>
      </w:r>
      <w:r>
        <w:rPr>
          <w:color w:val="6E6158"/>
        </w:rPr>
        <w:t>&amp;</w:t>
      </w:r>
      <w:r>
        <w:rPr>
          <w:color w:val="6E6158"/>
          <w:spacing w:val="16"/>
        </w:rPr>
        <w:t> </w:t>
      </w:r>
      <w:r>
        <w:rPr>
          <w:color w:val="6E6158"/>
        </w:rPr>
        <w:t>Executive</w:t>
      </w:r>
      <w:r>
        <w:rPr>
          <w:color w:val="6E6158"/>
          <w:spacing w:val="16"/>
        </w:rPr>
        <w:t> </w:t>
      </w:r>
      <w:r>
        <w:rPr>
          <w:color w:val="6E6158"/>
        </w:rPr>
        <w:t>Compensation:</w:t>
      </w:r>
      <w:r>
        <w:rPr>
          <w:color w:val="6E6158"/>
          <w:spacing w:val="17"/>
        </w:rPr>
        <w:t> </w:t>
      </w:r>
      <w:r>
        <w:rPr>
          <w:color w:val="6E6158"/>
        </w:rPr>
        <w:t>Arizona,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352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IRS Updates Retirement Plan Correction Procedures</w:t>
        </w:r>
      </w:hyperlink>
      <w:r>
        <w:rPr>
          <w:color w:val="6E6158"/>
        </w:rPr>
        <w:t>,” Fennemore Blog, October </w:t>
      </w:r>
      <w:r>
        <w:rPr>
          <w:color w:val="6E6158"/>
        </w:rPr>
        <w:t>27,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Treasury Issues Temporary Regulations on Trump Accounts and </w:t>
        </w:r>
        <w:r>
          <w:rPr>
            <w:color w:val="F5821F"/>
          </w:rPr>
          <w:t>Contributions</w:t>
        </w:r>
      </w:hyperlink>
      <w:r>
        <w:rPr>
          <w:color w:val="6E6158"/>
        </w:rPr>
        <w:t>,” Fennemore Blog, October 7, 2026</w:t>
      </w:r>
    </w:p>
    <w:p>
      <w:pPr>
        <w:pStyle w:val="BodyText"/>
        <w:spacing w:line="292" w:lineRule="auto" w:before="124"/>
        <w:ind w:right="352"/>
      </w:pPr>
      <w:r>
        <w:rPr>
          <w:color w:val="6E6158"/>
        </w:rPr>
        <w:t>Speaker, “Washington Update and SECURE Act 3.0,” Western Pension &amp; Benefits Council Phoenix Chapter, Spring Conference, May 14, 2025</w:t>
      </w:r>
    </w:p>
    <w:p>
      <w:pPr>
        <w:pStyle w:val="BodyText"/>
        <w:spacing w:line="292" w:lineRule="auto" w:before="131"/>
        <w:ind w:right="264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Supreme Court Makes It Easier For Plaintiffs To Sue Plan Fiduciaries</w:t>
        </w:r>
      </w:hyperlink>
      <w:r>
        <w:rPr>
          <w:color w:val="6E6158"/>
        </w:rPr>
        <w:t>,” Fennemore Blog, April 21, 2025</w:t>
      </w:r>
    </w:p>
    <w:p>
      <w:pPr>
        <w:pStyle w:val="BodyText"/>
        <w:spacing w:before="123"/>
      </w:pPr>
      <w:hyperlink r:id="rId15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Justices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Likely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ERISA’s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Bounds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Pleadings,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12,</w:t>
        </w:r>
        <w:r>
          <w:rPr>
            <w:color w:val="F5821F"/>
            <w:spacing w:val="10"/>
          </w:rPr>
          <w:t> </w:t>
        </w:r>
        <w:r>
          <w:rPr>
            <w:color w:val="F5821F"/>
            <w:spacing w:val="-4"/>
          </w:rPr>
          <w:t>2025</w:t>
        </w:r>
      </w:hyperlink>
    </w:p>
    <w:p>
      <w:pPr>
        <w:pStyle w:val="BodyText"/>
        <w:spacing w:line="292" w:lineRule="auto" w:before="182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Buying or Selling a Business? Look Out for Employee Benefits Issues!</w:t>
        </w:r>
      </w:hyperlink>
      <w:r>
        <w:rPr>
          <w:color w:val="6E6158"/>
        </w:rPr>
        <w:t>,” Greater </w:t>
      </w:r>
      <w:r>
        <w:rPr>
          <w:color w:val="6E6158"/>
        </w:rPr>
        <w:t>Phoenix InBusiness Magazine, November 1, 2024</w:t>
      </w:r>
    </w:p>
    <w:p>
      <w:pPr>
        <w:pStyle w:val="BodyText"/>
        <w:spacing w:line="292" w:lineRule="auto" w:before="124"/>
        <w:ind w:right="352"/>
      </w:pPr>
      <w:r>
        <w:rPr>
          <w:color w:val="6E6158"/>
        </w:rPr>
        <w:t>Co-Author, “Consider 10 Benefit Questions Before that Merger or Acquisition Occurs,” World </w:t>
      </w:r>
      <w:r>
        <w:rPr>
          <w:color w:val="6E6158"/>
        </w:rPr>
        <w:t>at Work, September 9, 2024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Buying or selling a business? Watch for these employee benefits issues,” AZ Big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Media</w:t>
        </w:r>
      </w:hyperlink>
      <w:r>
        <w:rPr>
          <w:color w:val="6E6158"/>
        </w:rPr>
        <w:t>, August 27, 2024</w:t>
      </w:r>
    </w:p>
    <w:p>
      <w:pPr>
        <w:pStyle w:val="BodyText"/>
        <w:spacing w:line="292" w:lineRule="auto" w:before="123"/>
        <w:ind w:right="352"/>
      </w:pPr>
      <w:hyperlink r:id="rId18">
        <w:r>
          <w:rPr>
            <w:color w:val="F5821F"/>
          </w:rPr>
          <w:t>Co-Author, Buying Or Selling A Business? Don’t Forget To Look Out For These Employee Benefits</w:t>
        </w:r>
      </w:hyperlink>
      <w:r>
        <w:rPr>
          <w:color w:val="F5821F"/>
        </w:rPr>
        <w:t> </w:t>
      </w:r>
      <w:hyperlink r:id="rId18">
        <w:r>
          <w:rPr>
            <w:color w:val="F5821F"/>
          </w:rPr>
          <w:t>Issues!, Fennemore Blog, June 26, 2024</w:t>
        </w:r>
      </w:hyperlink>
    </w:p>
    <w:p>
      <w:pPr>
        <w:pStyle w:val="BodyText"/>
        <w:spacing w:line="292" w:lineRule="auto" w:before="132"/>
        <w:ind w:right="352"/>
      </w:pPr>
      <w:hyperlink r:id="rId19">
        <w:r>
          <w:rPr>
            <w:color w:val="F5821F"/>
          </w:rPr>
          <w:t>Co-Author “New 401(k) Plan Rules Impose Mandatory Eligibility Requirements for Part-</w:t>
        </w:r>
        <w:r>
          <w:rPr>
            <w:color w:val="F5821F"/>
          </w:rPr>
          <w:t>Time</w:t>
        </w:r>
      </w:hyperlink>
      <w:r>
        <w:rPr>
          <w:color w:val="F5821F"/>
          <w:spacing w:val="40"/>
        </w:rPr>
        <w:t> </w:t>
      </w:r>
      <w:hyperlink r:id="rId19">
        <w:r>
          <w:rPr>
            <w:color w:val="F5821F"/>
          </w:rPr>
          <w:t>Employees in 2024,” Fennemore Client Alert, October 5, 2023</w:t>
        </w:r>
      </w:hyperlink>
    </w:p>
    <w:p>
      <w:pPr>
        <w:pStyle w:val="BodyText"/>
        <w:spacing w:line="292" w:lineRule="auto" w:before="123"/>
        <w:ind w:right="352"/>
      </w:pPr>
      <w:hyperlink r:id="rId20">
        <w:r>
          <w:rPr>
            <w:color w:val="F5821F"/>
          </w:rPr>
          <w:t>Co-Author “Roth Catch-Up Contributions Under SECURE 2.0: The IRS Delays New Requirements </w:t>
        </w:r>
        <w:r>
          <w:rPr>
            <w:color w:val="F5821F"/>
          </w:rPr>
          <w:t>to</w:t>
        </w:r>
      </w:hyperlink>
      <w:r>
        <w:rPr>
          <w:color w:val="F5821F"/>
          <w:spacing w:val="40"/>
        </w:rPr>
        <w:t> </w:t>
      </w:r>
      <w:hyperlink r:id="rId20">
        <w:r>
          <w:rPr>
            <w:color w:val="F5821F"/>
          </w:rPr>
          <w:t>2026,” Fennemore Client Alert, September 6, 2023</w:t>
        </w:r>
      </w:hyperlink>
    </w:p>
    <w:p>
      <w:pPr>
        <w:pStyle w:val="BodyText"/>
        <w:spacing w:line="292" w:lineRule="auto" w:before="132"/>
        <w:ind w:right="264"/>
      </w:pPr>
      <w:hyperlink r:id="rId21">
        <w:r>
          <w:rPr>
            <w:color w:val="F5821F"/>
          </w:rPr>
          <w:t>Co-Author, “Health Plans Must Attest They Have No “Gag Clause” By End of 2023: It’s Time To</w:t>
        </w:r>
      </w:hyperlink>
      <w:r>
        <w:rPr>
          <w:color w:val="F5821F"/>
        </w:rPr>
        <w:t> </w:t>
      </w:r>
      <w:hyperlink r:id="rId21">
        <w:r>
          <w:rPr>
            <w:color w:val="F5821F"/>
          </w:rPr>
          <w:t>Check Your Service Provider Agreement,” Fennemore Client Alert, August 24, 2023</w:t>
        </w:r>
      </w:hyperlink>
    </w:p>
    <w:p>
      <w:pPr>
        <w:pStyle w:val="BodyText"/>
        <w:spacing w:line="292" w:lineRule="auto" w:before="123"/>
        <w:ind w:right="352"/>
      </w:pPr>
      <w:hyperlink r:id="rId22">
        <w:r>
          <w:rPr>
            <w:color w:val="FF6600"/>
          </w:rPr>
          <w:t>Co-Author, “Congress Gives New and Enhanced Tools to Individuals and Employers </w:t>
        </w:r>
        <w:r>
          <w:rPr>
            <w:color w:val="FF6600"/>
          </w:rPr>
          <w:t>for</w:t>
        </w:r>
      </w:hyperlink>
      <w:r>
        <w:rPr>
          <w:color w:val="FF6600"/>
        </w:rPr>
        <w:t> </w:t>
      </w:r>
      <w:hyperlink r:id="rId22">
        <w:r>
          <w:rPr>
            <w:color w:val="FF6600"/>
          </w:rPr>
          <w:t>Retirement through SECURE Act 2.0,” Arizona Attorney Magazine, April 2023</w:t>
        </w:r>
      </w:hyperlink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52"/>
      </w:pPr>
      <w:r>
        <w:rPr>
          <w:color w:val="6E6158"/>
        </w:rPr>
        <w:t>Featured, “Fennemore: Helping Businesses Thrive By Creating Possibilities,” Greater </w:t>
      </w:r>
      <w:r>
        <w:rPr>
          <w:color w:val="6E6158"/>
        </w:rPr>
        <w:t>Phoenix Chamber, February 2023</w:t>
      </w:r>
    </w:p>
    <w:p>
      <w:pPr>
        <w:pStyle w:val="BodyText"/>
        <w:spacing w:line="292" w:lineRule="auto" w:before="132"/>
        <w:ind w:right="264"/>
      </w:pPr>
      <w:hyperlink r:id="rId23">
        <w:r>
          <w:rPr>
            <w:color w:val="FF6600"/>
          </w:rPr>
          <w:t>Interviewed, “SECURE Act 2.0 gives Arizonans new and enhanced tools for retirement,” </w:t>
        </w:r>
        <w:r>
          <w:rPr>
            <w:color w:val="FF6600"/>
          </w:rPr>
          <w:t>Arizona</w:t>
        </w:r>
      </w:hyperlink>
      <w:r>
        <w:rPr>
          <w:color w:val="FF6600"/>
          <w:spacing w:val="40"/>
        </w:rPr>
        <w:t> </w:t>
      </w:r>
      <w:hyperlink r:id="rId23">
        <w:r>
          <w:rPr>
            <w:color w:val="FF6600"/>
          </w:rPr>
          <w:t>Horizon, January 24, 2023</w:t>
        </w:r>
      </w:hyperlink>
    </w:p>
    <w:p>
      <w:pPr>
        <w:pStyle w:val="BodyText"/>
        <w:spacing w:line="278" w:lineRule="auto" w:before="113"/>
        <w:ind w:right="264"/>
      </w:pPr>
      <w:r>
        <w:rPr>
          <w:color w:val="6E6158"/>
        </w:rPr>
        <w:t>Co-Author, “SECURE Act 2.0 gives Arizonans new and enhanced tools for retirement,” </w:t>
      </w:r>
      <w:r>
        <w:rPr>
          <w:i/>
          <w:color w:val="6E6158"/>
          <w:sz w:val="20"/>
        </w:rPr>
        <w:t>InBusiness</w:t>
      </w:r>
      <w:r>
        <w:rPr>
          <w:i/>
          <w:color w:val="6E6158"/>
          <w:sz w:val="20"/>
        </w:rPr>
        <w:t> Phoenix</w:t>
      </w:r>
      <w:r>
        <w:rPr>
          <w:color w:val="6E6158"/>
        </w:rPr>
        <w:t>, December 30, 2022</w:t>
      </w:r>
    </w:p>
    <w:p>
      <w:pPr>
        <w:pStyle w:val="BodyText"/>
        <w:spacing w:line="292" w:lineRule="auto" w:before="141"/>
        <w:ind w:right="352"/>
      </w:pPr>
      <w:r>
        <w:rPr>
          <w:color w:val="6E6158"/>
        </w:rPr>
        <w:t>Co-Author, “SECURE Act 2.0 gives Arizonans new and enhanced tools for retirement,” Arizona Digital Free Press, December 30, 2022</w:t>
      </w:r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Co-Author, “SECURE Act 2.0 gives Arizonans new and enhanced tools for retirement,” AZ Big Media, December 29, 2022</w:t>
      </w:r>
    </w:p>
    <w:p>
      <w:pPr>
        <w:pStyle w:val="BodyText"/>
        <w:spacing w:before="132"/>
      </w:pPr>
      <w:r>
        <w:rPr>
          <w:color w:val="6E6158"/>
        </w:rPr>
        <w:t>Featured,</w:t>
      </w:r>
      <w:r>
        <w:rPr>
          <w:color w:val="6E6158"/>
          <w:spacing w:val="10"/>
        </w:rPr>
        <w:t> </w:t>
      </w:r>
      <w:r>
        <w:rPr>
          <w:color w:val="6E6158"/>
        </w:rPr>
        <w:t>“AZ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Spotlight:</w:t>
      </w:r>
      <w:r>
        <w:rPr>
          <w:color w:val="6E6158"/>
          <w:spacing w:val="10"/>
        </w:rPr>
        <w:t> </w:t>
      </w:r>
      <w:r>
        <w:rPr>
          <w:color w:val="6E6158"/>
        </w:rPr>
        <w:t>Greater</w:t>
      </w:r>
      <w:r>
        <w:rPr>
          <w:color w:val="6E6158"/>
          <w:spacing w:val="11"/>
        </w:rPr>
        <w:t> </w:t>
      </w:r>
      <w:r>
        <w:rPr>
          <w:color w:val="6E6158"/>
        </w:rPr>
        <w:t>Phoenix</w:t>
      </w:r>
      <w:r>
        <w:rPr>
          <w:color w:val="6E6158"/>
          <w:spacing w:val="10"/>
        </w:rPr>
        <w:t> </w:t>
      </w:r>
      <w:r>
        <w:rPr>
          <w:color w:val="6E6158"/>
        </w:rPr>
        <w:t>Chamber,”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0"/>
        </w:rPr>
        <w:t> </w:t>
      </w:r>
      <w:r>
        <w:rPr>
          <w:color w:val="6E6158"/>
        </w:rPr>
        <w:t>26,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88" w:lineRule="auto" w:before="163"/>
        <w:ind w:right="352"/>
      </w:pPr>
      <w:hyperlink r:id="rId24">
        <w:r>
          <w:rPr>
            <w:color w:val="FF8100"/>
          </w:rPr>
          <w:t>Co-author, “The New Mandatory COBRA Subsidy: What Employers Need to Know,”</w:t>
        </w:r>
      </w:hyperlink>
      <w:r>
        <w:rPr>
          <w:color w:val="FF8100"/>
        </w:rPr>
        <w:t> </w:t>
      </w:r>
      <w:hyperlink r:id="rId24">
        <w:r>
          <w:rPr>
            <w:i/>
            <w:color w:val="FF8100"/>
            <w:sz w:val="20"/>
          </w:rPr>
          <w:t>InBusiness</w:t>
        </w:r>
      </w:hyperlink>
      <w:hyperlink r:id="rId24">
        <w:r>
          <w:rPr>
            <w:color w:val="FF8100"/>
          </w:rPr>
          <w:t>,</w:t>
        </w:r>
      </w:hyperlink>
      <w:r>
        <w:rPr>
          <w:color w:val="FF8100"/>
        </w:rPr>
        <w:t> </w:t>
      </w:r>
      <w:hyperlink r:id="rId24">
        <w:r>
          <w:rPr>
            <w:color w:val="FF8100"/>
          </w:rPr>
          <w:t>April 28, 2021</w:t>
        </w:r>
      </w:hyperlink>
    </w:p>
    <w:p>
      <w:pPr>
        <w:pStyle w:val="BodyText"/>
        <w:spacing w:line="302" w:lineRule="auto" w:before="128"/>
        <w:ind w:right="352"/>
      </w:pPr>
      <w:hyperlink r:id="rId25">
        <w:r>
          <w:rPr>
            <w:color w:val="FF8100"/>
          </w:rPr>
          <w:t>Co-author, “Employers Required to Temporarily Subsidize COBRA Premiums Subject </w:t>
        </w:r>
        <w:r>
          <w:rPr>
            <w:color w:val="FF8100"/>
          </w:rPr>
          <w:t>to</w:t>
        </w:r>
      </w:hyperlink>
      <w:r>
        <w:rPr>
          <w:color w:val="FF8100"/>
        </w:rPr>
        <w:t> </w:t>
      </w:r>
      <w:hyperlink r:id="rId25">
        <w:r>
          <w:rPr>
            <w:color w:val="FF8100"/>
          </w:rPr>
          <w:t>Reimbursement,” Fennemore Client Alert, April 6, 2021</w:t>
        </w:r>
      </w:hyperlink>
    </w:p>
    <w:p>
      <w:pPr>
        <w:pStyle w:val="BodyText"/>
        <w:spacing w:line="288" w:lineRule="auto" w:before="103"/>
        <w:ind w:right="352"/>
      </w:pPr>
      <w:hyperlink r:id="rId26">
        <w:r>
          <w:rPr>
            <w:color w:val="FF8100"/>
          </w:rPr>
          <w:t>Co-author, “New COVID-19 Legislation Provides Partial Plan Termination Relief,”</w:t>
        </w:r>
      </w:hyperlink>
      <w:r>
        <w:rPr>
          <w:color w:val="FF8100"/>
        </w:rPr>
        <w:t> </w:t>
      </w:r>
      <w:hyperlink r:id="rId26">
        <w:r>
          <w:rPr>
            <w:i/>
            <w:color w:val="FF8100"/>
            <w:sz w:val="20"/>
          </w:rPr>
          <w:t>Mondaq</w:t>
        </w:r>
      </w:hyperlink>
      <w:hyperlink r:id="rId26">
        <w:r>
          <w:rPr>
            <w:color w:val="FF8100"/>
          </w:rPr>
          <w:t>,</w:t>
        </w:r>
      </w:hyperlink>
      <w:r>
        <w:rPr>
          <w:color w:val="FF8100"/>
        </w:rPr>
        <w:t> </w:t>
      </w:r>
      <w:hyperlink r:id="rId26">
        <w:r>
          <w:rPr>
            <w:color w:val="FF8100"/>
          </w:rPr>
          <w:t>January 8, 2021</w:t>
        </w:r>
      </w:hyperlink>
    </w:p>
    <w:p>
      <w:pPr>
        <w:pStyle w:val="BodyText"/>
        <w:spacing w:line="292" w:lineRule="auto" w:before="136"/>
        <w:ind w:right="394"/>
      </w:pPr>
      <w:hyperlink r:id="rId27">
        <w:r>
          <w:rPr>
            <w:color w:val="FF8100"/>
          </w:rPr>
          <w:t>Co-author, “New COVID-19 Legislation Provides Partial Plan Termination Relief,” </w:t>
        </w:r>
        <w:r>
          <w:rPr>
            <w:color w:val="FF8100"/>
          </w:rPr>
          <w:t>Fennemore</w:t>
        </w:r>
      </w:hyperlink>
      <w:r>
        <w:rPr>
          <w:color w:val="FF8100"/>
        </w:rPr>
        <w:t> </w:t>
      </w:r>
      <w:hyperlink r:id="rId27">
        <w:r>
          <w:rPr>
            <w:color w:val="FF8100"/>
          </w:rPr>
          <w:t>Client Alert, January 7, 2021</w:t>
        </w:r>
      </w:hyperlink>
    </w:p>
    <w:p>
      <w:pPr>
        <w:pStyle w:val="BodyText"/>
        <w:spacing w:line="292" w:lineRule="auto" w:before="124"/>
        <w:ind w:right="352"/>
      </w:pPr>
      <w:hyperlink r:id="rId28">
        <w:r>
          <w:rPr>
            <w:color w:val="FF8100"/>
          </w:rPr>
          <w:t>Co-author, “IRS Issues Initial Guidance on The SECURE Act,” Fennemore Client Alert, October 5,</w:t>
        </w:r>
      </w:hyperlink>
      <w:r>
        <w:rPr>
          <w:color w:val="FF8100"/>
          <w:spacing w:val="40"/>
        </w:rPr>
        <w:t> </w:t>
      </w:r>
      <w:hyperlink r:id="rId28"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31"/>
        <w:ind w:right="394"/>
      </w:pPr>
      <w:hyperlink r:id="rId29">
        <w:r>
          <w:rPr>
            <w:color w:val="FF8100"/>
          </w:rPr>
          <w:t>Co-author, “Department of Labor Announces New Safe Harbor for Electronic </w:t>
        </w:r>
        <w:r>
          <w:rPr>
            <w:color w:val="FF8100"/>
          </w:rPr>
          <w:t>Communications</w:t>
        </w:r>
      </w:hyperlink>
      <w:r>
        <w:rPr>
          <w:color w:val="FF8100"/>
          <w:spacing w:val="40"/>
        </w:rPr>
        <w:t> </w:t>
      </w:r>
      <w:hyperlink r:id="rId29">
        <w:r>
          <w:rPr>
            <w:color w:val="FF8100"/>
          </w:rPr>
          <w:t>to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Participants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Qualified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Retirement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Plans,”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22,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2020</w:t>
        </w:r>
      </w:hyperlink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Co-author, “DOL and IRS Issue New Coronavirus-Related Guidance and Relief for </w:t>
      </w:r>
      <w:r>
        <w:rPr>
          <w:color w:val="6E6158"/>
        </w:rPr>
        <w:t>Employee Benefit Plans,” Fennemore Client Alert, April 30, 2020</w:t>
      </w:r>
    </w:p>
    <w:p>
      <w:pPr>
        <w:pStyle w:val="BodyText"/>
        <w:spacing w:line="292" w:lineRule="auto" w:before="132"/>
        <w:ind w:right="352"/>
      </w:pPr>
      <w:hyperlink r:id="rId30">
        <w:r>
          <w:rPr>
            <w:color w:val="FF8100"/>
          </w:rPr>
          <w:t>Co-author, “The CARES Act: Implications for Health and Welfare Benefits,” Fennemore Client</w:t>
        </w:r>
      </w:hyperlink>
      <w:r>
        <w:rPr>
          <w:color w:val="FF8100"/>
        </w:rPr>
        <w:t> </w:t>
      </w:r>
      <w:hyperlink r:id="rId30">
        <w:r>
          <w:rPr>
            <w:color w:val="FF8100"/>
          </w:rPr>
          <w:t>Alert, April 20, 2020</w:t>
        </w:r>
      </w:hyperlink>
    </w:p>
    <w:p>
      <w:pPr>
        <w:pStyle w:val="BodyText"/>
        <w:spacing w:before="123"/>
      </w:pPr>
      <w:hyperlink r:id="rId31">
        <w:r>
          <w:rPr>
            <w:color w:val="FF8100"/>
          </w:rPr>
          <w:t>Co-author,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“The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SECURE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Act: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What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Employers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Sponsoring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Retirement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Plans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Need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12"/>
          </w:rPr>
          <w:t> </w:t>
        </w:r>
        <w:r>
          <w:rPr>
            <w:color w:val="FF8100"/>
            <w:spacing w:val="-2"/>
          </w:rPr>
          <w:t>Know,”</w:t>
        </w:r>
      </w:hyperlink>
    </w:p>
    <w:p>
      <w:pPr>
        <w:spacing w:before="42"/>
        <w:ind w:left="99" w:right="0" w:firstLine="0"/>
        <w:jc w:val="left"/>
        <w:rPr>
          <w:sz w:val="19"/>
        </w:rPr>
      </w:pPr>
      <w:hyperlink r:id="rId31">
        <w:r>
          <w:rPr>
            <w:i/>
            <w:color w:val="FF8100"/>
            <w:sz w:val="20"/>
          </w:rPr>
          <w:t>InBusiness,</w:t>
        </w:r>
      </w:hyperlink>
      <w:r>
        <w:rPr>
          <w:i/>
          <w:color w:val="FF8100"/>
          <w:spacing w:val="-9"/>
          <w:sz w:val="20"/>
        </w:rPr>
        <w:t> </w:t>
      </w:r>
      <w:hyperlink r:id="rId31">
        <w:r>
          <w:rPr>
            <w:color w:val="FF8100"/>
            <w:sz w:val="19"/>
          </w:rPr>
          <w:t>April</w:t>
        </w:r>
        <w:r>
          <w:rPr>
            <w:color w:val="FF8100"/>
            <w:spacing w:val="-5"/>
            <w:sz w:val="19"/>
          </w:rPr>
          <w:t> </w:t>
        </w:r>
        <w:r>
          <w:rPr>
            <w:color w:val="FF8100"/>
            <w:sz w:val="19"/>
          </w:rPr>
          <w:t>1,</w:t>
        </w:r>
        <w:r>
          <w:rPr>
            <w:color w:val="FF8100"/>
            <w:spacing w:val="-5"/>
            <w:sz w:val="19"/>
          </w:rPr>
          <w:t> </w:t>
        </w:r>
        <w:r>
          <w:rPr>
            <w:color w:val="FF8100"/>
            <w:spacing w:val="-4"/>
            <w:sz w:val="19"/>
          </w:rPr>
          <w:t>2020</w:t>
        </w:r>
      </w:hyperlink>
    </w:p>
    <w:p>
      <w:pPr>
        <w:pStyle w:val="BodyText"/>
        <w:spacing w:line="292" w:lineRule="auto" w:before="180"/>
        <w:ind w:right="352"/>
      </w:pPr>
      <w:hyperlink r:id="rId32">
        <w:r>
          <w:rPr>
            <w:color w:val="FF8100"/>
          </w:rPr>
          <w:t>Co-author, “The CARES Act: Implications for Qualified Retirement Plans,” Fennemore Client </w:t>
        </w:r>
        <w:r>
          <w:rPr>
            <w:color w:val="FF8100"/>
          </w:rPr>
          <w:t>Alert,</w:t>
        </w:r>
      </w:hyperlink>
      <w:r>
        <w:rPr>
          <w:color w:val="FF8100"/>
        </w:rPr>
        <w:t> </w:t>
      </w:r>
      <w:hyperlink r:id="rId32">
        <w:r>
          <w:rPr>
            <w:color w:val="FF8100"/>
          </w:rPr>
          <w:t>March 30, 2020</w:t>
        </w:r>
      </w:hyperlink>
    </w:p>
    <w:p>
      <w:pPr>
        <w:pStyle w:val="BodyText"/>
        <w:spacing w:line="302" w:lineRule="auto" w:before="123"/>
        <w:ind w:right="352"/>
      </w:pPr>
      <w:hyperlink r:id="rId33">
        <w:r>
          <w:rPr>
            <w:color w:val="FF8100"/>
          </w:rPr>
          <w:t>Co-author, “COVID-19: Health Plan Coverage For Furloughed Employees,”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33">
        <w:r>
          <w:rPr>
            <w:color w:val="FF8100"/>
          </w:rPr>
          <w:t>Alert, March 26, 2020</w:t>
        </w:r>
      </w:hyperlink>
    </w:p>
    <w:p>
      <w:pPr>
        <w:pStyle w:val="BodyText"/>
        <w:spacing w:line="292" w:lineRule="auto" w:before="113"/>
      </w:pPr>
      <w:hyperlink r:id="rId34">
        <w:r>
          <w:rPr>
            <w:color w:val="FF8100"/>
          </w:rPr>
          <w:t>Co-author, “Understanding the Emergency Family Medical Leave Expansion Act and </w:t>
        </w:r>
        <w:r>
          <w:rPr>
            <w:color w:val="FF8100"/>
          </w:rPr>
          <w:t>Emergency</w:t>
        </w:r>
      </w:hyperlink>
      <w:r>
        <w:rPr>
          <w:color w:val="FF8100"/>
        </w:rPr>
        <w:t> </w:t>
      </w:r>
      <w:hyperlink r:id="rId34">
        <w:r>
          <w:rPr>
            <w:color w:val="FF8100"/>
          </w:rPr>
          <w:t>Paid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Sick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Leave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Families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First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Coronavirus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Response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Act,”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March</w:t>
        </w:r>
      </w:hyperlink>
    </w:p>
    <w:p>
      <w:pPr>
        <w:pStyle w:val="BodyText"/>
        <w:spacing w:before="1"/>
      </w:pPr>
      <w:hyperlink r:id="rId34">
        <w:r>
          <w:rPr>
            <w:color w:val="FF8100"/>
          </w:rPr>
          <w:t>20,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82"/>
      </w:pPr>
      <w:hyperlink r:id="rId35">
        <w:r>
          <w:rPr>
            <w:color w:val="FF8100"/>
          </w:rPr>
          <w:t>Co-author,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“HIPAA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Implications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COVID-19,”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March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20,</w:t>
        </w:r>
        <w:r>
          <w:rPr>
            <w:color w:val="FF8100"/>
            <w:spacing w:val="11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74"/>
        <w:ind w:right="352"/>
      </w:pPr>
      <w:hyperlink r:id="rId36">
        <w:r>
          <w:rPr>
            <w:color w:val="FF8100"/>
          </w:rPr>
          <w:t>Co-author, “COVID-19 Testing and Treatment: Copays, Deductibles, and HSA </w:t>
        </w:r>
        <w:r>
          <w:rPr>
            <w:color w:val="FF8100"/>
          </w:rPr>
          <w:t>Complications,”</w:t>
        </w:r>
      </w:hyperlink>
      <w:r>
        <w:rPr>
          <w:color w:val="FF8100"/>
        </w:rPr>
        <w:t> </w:t>
      </w:r>
      <w:hyperlink r:id="rId36">
        <w:r>
          <w:rPr>
            <w:color w:val="FF8100"/>
          </w:rPr>
          <w:t>Fennemore Client Alert, March 19, 2020</w:t>
        </w:r>
      </w:hyperlink>
    </w:p>
    <w:p>
      <w:pPr>
        <w:pStyle w:val="BodyText"/>
        <w:spacing w:line="302" w:lineRule="auto" w:before="123"/>
        <w:ind w:right="352"/>
      </w:pPr>
      <w:hyperlink r:id="rId37">
        <w:r>
          <w:rPr>
            <w:color w:val="FF8100"/>
          </w:rPr>
          <w:t>Co-author, “The SECURE Act: What Plan Sponsors Need to Know” Fennemore Client </w:t>
        </w:r>
        <w:r>
          <w:rPr>
            <w:color w:val="FF8100"/>
          </w:rPr>
          <w:t>Alert,</w:t>
        </w:r>
      </w:hyperlink>
      <w:r>
        <w:rPr>
          <w:color w:val="FF8100"/>
        </w:rPr>
        <w:t> </w:t>
      </w:r>
      <w:hyperlink r:id="rId37">
        <w:r>
          <w:rPr>
            <w:color w:val="FF8100"/>
          </w:rPr>
          <w:t>F</w:t>
        </w:r>
      </w:hyperlink>
      <w:hyperlink r:id="rId38">
        <w:r>
          <w:rPr>
            <w:color w:val="FF8100"/>
          </w:rPr>
          <w:t>ebruary 7, 2020</w:t>
        </w:r>
      </w:hyperlink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right="352"/>
      </w:pPr>
      <w:r>
        <w:rPr>
          <w:color w:val="6E6158"/>
        </w:rPr>
        <w:t>Speaker, “Misclassification of Workers: How It Can Affect Your Benefit Plans” and “Arizona’s New Mini</w:t>
      </w:r>
      <w:r>
        <w:rPr>
          <w:color w:val="6E6158"/>
          <w:spacing w:val="29"/>
        </w:rPr>
        <w:t> </w:t>
      </w:r>
      <w:r>
        <w:rPr>
          <w:color w:val="6E6158"/>
        </w:rPr>
        <w:t>COBRA</w:t>
      </w:r>
      <w:r>
        <w:rPr>
          <w:color w:val="6E6158"/>
          <w:spacing w:val="29"/>
        </w:rPr>
        <w:t> </w:t>
      </w:r>
      <w:r>
        <w:rPr>
          <w:color w:val="6E6158"/>
        </w:rPr>
        <w:t>Law:</w:t>
      </w:r>
      <w:r>
        <w:rPr>
          <w:color w:val="6E6158"/>
          <w:spacing w:val="29"/>
        </w:rPr>
        <w:t> </w:t>
      </w:r>
      <w:r>
        <w:rPr>
          <w:color w:val="6E6158"/>
        </w:rPr>
        <w:t>What</w:t>
      </w:r>
      <w:r>
        <w:rPr>
          <w:color w:val="6E6158"/>
          <w:spacing w:val="29"/>
        </w:rPr>
        <w:t> </w:t>
      </w:r>
      <w:r>
        <w:rPr>
          <w:color w:val="6E6158"/>
        </w:rPr>
        <w:t>Small</w:t>
      </w:r>
      <w:r>
        <w:rPr>
          <w:color w:val="6E6158"/>
          <w:spacing w:val="29"/>
        </w:rPr>
        <w:t> </w:t>
      </w:r>
      <w:r>
        <w:rPr>
          <w:color w:val="6E6158"/>
        </w:rPr>
        <w:t>Employers</w:t>
      </w:r>
      <w:r>
        <w:rPr>
          <w:color w:val="6E6158"/>
          <w:spacing w:val="29"/>
        </w:rPr>
        <w:t> </w:t>
      </w:r>
      <w:r>
        <w:rPr>
          <w:color w:val="6E6158"/>
        </w:rPr>
        <w:t>Must</w:t>
      </w:r>
      <w:r>
        <w:rPr>
          <w:color w:val="6E6158"/>
          <w:spacing w:val="29"/>
        </w:rPr>
        <w:t> </w:t>
      </w:r>
      <w:r>
        <w:rPr>
          <w:color w:val="6E6158"/>
        </w:rPr>
        <w:t>Do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Comply,”</w:t>
      </w:r>
      <w:r>
        <w:rPr>
          <w:color w:val="6E6158"/>
          <w:spacing w:val="29"/>
        </w:rPr>
        <w:t> </w:t>
      </w:r>
      <w:r>
        <w:rPr>
          <w:color w:val="6E6158"/>
        </w:rPr>
        <w:t>Fennemore</w:t>
      </w:r>
      <w:r>
        <w:rPr>
          <w:color w:val="6E6158"/>
          <w:spacing w:val="29"/>
        </w:rPr>
        <w:t> </w:t>
      </w:r>
      <w:r>
        <w:rPr>
          <w:color w:val="6E6158"/>
        </w:rPr>
        <w:t>Fall</w:t>
      </w:r>
      <w:r>
        <w:rPr>
          <w:color w:val="6E6158"/>
          <w:spacing w:val="29"/>
        </w:rPr>
        <w:t> </w:t>
      </w:r>
      <w:r>
        <w:rPr>
          <w:color w:val="6E6158"/>
        </w:rPr>
        <w:t>Seminar, November 2018</w:t>
      </w:r>
    </w:p>
    <w:p>
      <w:pPr>
        <w:pStyle w:val="BodyText"/>
        <w:spacing w:line="292" w:lineRule="auto" w:before="118"/>
        <w:ind w:right="352"/>
      </w:pPr>
      <w:hyperlink r:id="rId39">
        <w:r>
          <w:rPr>
            <w:color w:val="FF8100"/>
          </w:rPr>
          <w:t>Co-author, “Attention Arizona Small Employers:</w:t>
        </w:r>
        <w:r>
          <w:rPr>
            <w:color w:val="FF8100"/>
            <w:spacing w:val="40"/>
          </w:rPr>
          <w:t> </w:t>
        </w:r>
        <w:r>
          <w:rPr>
            <w:color w:val="FF8100"/>
          </w:rPr>
          <w:t>Don’t Let Arizona’s New Mini COBRA Law </w:t>
        </w:r>
        <w:r>
          <w:rPr>
            <w:color w:val="FF8100"/>
          </w:rPr>
          <w:t>Bite</w:t>
        </w:r>
      </w:hyperlink>
      <w:r>
        <w:rPr>
          <w:color w:val="FF8100"/>
          <w:spacing w:val="40"/>
        </w:rPr>
        <w:t> </w:t>
      </w:r>
      <w:hyperlink r:id="rId39">
        <w:r>
          <w:rPr>
            <w:color w:val="FF8100"/>
          </w:rPr>
          <w:t>You!” Fennemore Client Alert, November 2018</w:t>
        </w:r>
      </w:hyperlink>
    </w:p>
    <w:p>
      <w:pPr>
        <w:pStyle w:val="BodyText"/>
        <w:spacing w:line="302" w:lineRule="auto" w:before="124"/>
        <w:ind w:right="352"/>
      </w:pPr>
      <w:hyperlink r:id="rId40">
        <w:r>
          <w:rPr>
            <w:color w:val="FF8100"/>
          </w:rPr>
          <w:t>Co-author, “DOL’s Fiduciary Rule Vacated by the Fifth Circuit: The Latest Twist in a Never-Ending</w:t>
        </w:r>
      </w:hyperlink>
      <w:r>
        <w:rPr>
          <w:color w:val="FF8100"/>
        </w:rPr>
        <w:t> </w:t>
      </w:r>
      <w:hyperlink r:id="rId40">
        <w:r>
          <w:rPr>
            <w:color w:val="FF8100"/>
          </w:rPr>
          <w:t>Story,” Fennemore Client Alert, March 2018</w:t>
        </w:r>
      </w:hyperlink>
    </w:p>
    <w:p>
      <w:pPr>
        <w:pStyle w:val="BodyText"/>
        <w:spacing w:line="292" w:lineRule="auto" w:before="112"/>
        <w:ind w:right="352"/>
      </w:pPr>
      <w:r>
        <w:rPr>
          <w:color w:val="6E6158"/>
        </w:rPr>
        <w:t>Speaker, “Monthly Luncheon: Washington Update 2018,” Western Pension &amp; Benefits </w:t>
      </w:r>
      <w:r>
        <w:rPr>
          <w:color w:val="6E6158"/>
        </w:rPr>
        <w:t>Council Phoenix Chapter, January 11, 2018</w:t>
      </w:r>
    </w:p>
    <w:p>
      <w:pPr>
        <w:pStyle w:val="BodyText"/>
        <w:spacing w:line="297" w:lineRule="auto" w:before="124"/>
        <w:ind w:right="482"/>
        <w:jc w:val="both"/>
      </w:pPr>
      <w:hyperlink r:id="rId41">
        <w:r>
          <w:rPr>
            <w:color w:val="FF8100"/>
          </w:rPr>
          <w:t>Co-author, “Death, Taxes, and the Affordable Care Act’s Individual and Employer Mandates:</w:t>
        </w:r>
      </w:hyperlink>
      <w:r>
        <w:rPr>
          <w:color w:val="FF8100"/>
        </w:rPr>
        <w:t> </w:t>
      </w:r>
      <w:hyperlink r:id="rId41">
        <w:r>
          <w:rPr>
            <w:color w:val="FF8100"/>
          </w:rPr>
          <w:t>Taxpayers and Employers Still Have Important Obligations Under the ACA,” Fennemore Client</w:t>
        </w:r>
      </w:hyperlink>
      <w:r>
        <w:rPr>
          <w:color w:val="FF8100"/>
        </w:rPr>
        <w:t> </w:t>
      </w:r>
      <w:hyperlink r:id="rId41">
        <w:r>
          <w:rPr>
            <w:color w:val="FF8100"/>
          </w:rPr>
          <w:t>Alert, January 2018</w:t>
        </w:r>
      </w:hyperlink>
    </w:p>
    <w:p>
      <w:pPr>
        <w:pStyle w:val="BodyText"/>
        <w:spacing w:line="292" w:lineRule="auto" w:before="118"/>
        <w:ind w:right="654"/>
        <w:jc w:val="both"/>
      </w:pPr>
      <w:hyperlink r:id="rId42">
        <w:r>
          <w:rPr>
            <w:color w:val="FF6600"/>
          </w:rPr>
          <w:t>Co-author, “QSEHRA Update: IRS Provides Promised Additional guidance for Qualified </w:t>
        </w:r>
        <w:r>
          <w:rPr>
            <w:color w:val="FF6600"/>
          </w:rPr>
          <w:t>Small</w:t>
        </w:r>
      </w:hyperlink>
      <w:r>
        <w:rPr>
          <w:color w:val="FF6600"/>
        </w:rPr>
        <w:t> </w:t>
      </w:r>
      <w:hyperlink r:id="rId42">
        <w:r>
          <w:rPr>
            <w:color w:val="FF6600"/>
          </w:rPr>
          <w:t>Employer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Health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Reimbursement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Arrangements,”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Fennemore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Client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Alert,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November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2017</w:t>
        </w:r>
      </w:hyperlink>
    </w:p>
    <w:p>
      <w:pPr>
        <w:pStyle w:val="BodyText"/>
        <w:spacing w:before="131"/>
        <w:jc w:val="both"/>
      </w:pPr>
      <w:r>
        <w:rPr>
          <w:color w:val="6E6158"/>
        </w:rPr>
        <w:t>Co-author,</w:t>
      </w:r>
      <w:r>
        <w:rPr>
          <w:color w:val="6E6158"/>
          <w:spacing w:val="13"/>
        </w:rPr>
        <w:t> </w:t>
      </w:r>
      <w:r>
        <w:rPr>
          <w:color w:val="6E6158"/>
        </w:rPr>
        <w:t>“HSAs:</w:t>
      </w:r>
      <w:r>
        <w:rPr>
          <w:color w:val="6E6158"/>
          <w:spacing w:val="13"/>
        </w:rPr>
        <w:t> </w:t>
      </w:r>
      <w:r>
        <w:rPr>
          <w:color w:val="6E6158"/>
        </w:rPr>
        <w:t>More</w:t>
      </w:r>
      <w:r>
        <w:rPr>
          <w:color w:val="6E6158"/>
          <w:spacing w:val="13"/>
        </w:rPr>
        <w:t> </w:t>
      </w:r>
      <w:r>
        <w:rPr>
          <w:color w:val="6E6158"/>
        </w:rPr>
        <w:t>Than</w:t>
      </w:r>
      <w:r>
        <w:rPr>
          <w:color w:val="6E6158"/>
          <w:spacing w:val="13"/>
        </w:rPr>
        <w:t> </w:t>
      </w:r>
      <w:r>
        <w:rPr>
          <w:color w:val="6E6158"/>
        </w:rPr>
        <w:t>Healthcare,”</w:t>
      </w:r>
      <w:r>
        <w:rPr>
          <w:color w:val="6E6158"/>
          <w:spacing w:val="13"/>
        </w:rPr>
        <w:t> </w:t>
      </w:r>
      <w:r>
        <w:rPr>
          <w:color w:val="6E6158"/>
        </w:rPr>
        <w:t>InBusiness,</w:t>
      </w:r>
      <w:r>
        <w:rPr>
          <w:color w:val="6E6158"/>
          <w:spacing w:val="14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4"/>
        <w:ind w:right="264"/>
      </w:pPr>
      <w:r>
        <w:rPr>
          <w:color w:val="6E6158"/>
        </w:rPr>
        <w:t>Co-author, “Don’t Look an IRS Gift Horse in the Mouth: Two Valuable Opportunities for 403(b) Plan Sponsors in 2017,” Fennemore Client Alert, August 24, 2017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Speaker, “Overview of Fiduciary Duties and Liabilities: Working with Others and Avoiding </w:t>
      </w:r>
      <w:r>
        <w:rPr>
          <w:color w:val="6E6158"/>
        </w:rPr>
        <w:t>Pitfalls,” 2017 Joint Spring Meeting for ABA-GPSOLO, May 19, 2017</w:t>
      </w:r>
    </w:p>
    <w:p>
      <w:pPr>
        <w:pStyle w:val="BodyText"/>
        <w:spacing w:line="292" w:lineRule="auto" w:before="124"/>
        <w:ind w:right="352"/>
      </w:pPr>
      <w:r>
        <w:rPr>
          <w:color w:val="6E6158"/>
        </w:rPr>
        <w:t>Speaker, “Benefits Update: The Affordable Care Act Survives Again, but What is Next for Health Care</w:t>
      </w:r>
      <w:r>
        <w:rPr>
          <w:color w:val="6E6158"/>
          <w:spacing w:val="32"/>
        </w:rPr>
        <w:t> </w:t>
      </w:r>
      <w:r>
        <w:rPr>
          <w:color w:val="6E6158"/>
        </w:rPr>
        <w:t>Reform</w:t>
      </w:r>
      <w:r>
        <w:rPr>
          <w:color w:val="6E6158"/>
          <w:spacing w:val="32"/>
        </w:rPr>
        <w:t> </w:t>
      </w:r>
      <w:r>
        <w:rPr>
          <w:color w:val="6E6158"/>
        </w:rPr>
        <w:t>(and</w:t>
      </w:r>
      <w:r>
        <w:rPr>
          <w:color w:val="6E6158"/>
          <w:spacing w:val="32"/>
        </w:rPr>
        <w:t> </w:t>
      </w:r>
      <w:r>
        <w:rPr>
          <w:color w:val="6E6158"/>
        </w:rPr>
        <w:t>Other</w:t>
      </w:r>
      <w:r>
        <w:rPr>
          <w:color w:val="6E6158"/>
          <w:spacing w:val="32"/>
        </w:rPr>
        <w:t> </w:t>
      </w:r>
      <w:r>
        <w:rPr>
          <w:color w:val="6E6158"/>
        </w:rPr>
        <w:t>Employee</w:t>
      </w:r>
      <w:r>
        <w:rPr>
          <w:color w:val="6E6158"/>
          <w:spacing w:val="32"/>
        </w:rPr>
        <w:t> </w:t>
      </w:r>
      <w:r>
        <w:rPr>
          <w:color w:val="6E6158"/>
        </w:rPr>
        <w:t>Benefits</w:t>
      </w:r>
      <w:r>
        <w:rPr>
          <w:color w:val="6E6158"/>
          <w:spacing w:val="32"/>
        </w:rPr>
        <w:t> </w:t>
      </w:r>
      <w:r>
        <w:rPr>
          <w:color w:val="6E6158"/>
        </w:rPr>
        <w:t>Issues</w:t>
      </w:r>
      <w:r>
        <w:rPr>
          <w:color w:val="6E6158"/>
          <w:spacing w:val="32"/>
        </w:rPr>
        <w:t> </w:t>
      </w:r>
      <w:r>
        <w:rPr>
          <w:color w:val="6E6158"/>
        </w:rPr>
        <w:t>Affected</w:t>
      </w:r>
      <w:r>
        <w:rPr>
          <w:color w:val="6E6158"/>
          <w:spacing w:val="32"/>
        </w:rPr>
        <w:t> </w:t>
      </w:r>
      <w:r>
        <w:rPr>
          <w:color w:val="6E6158"/>
        </w:rPr>
        <w:t>by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New</w:t>
      </w:r>
      <w:r>
        <w:rPr>
          <w:color w:val="6E6158"/>
          <w:spacing w:val="32"/>
        </w:rPr>
        <w:t> </w:t>
      </w:r>
      <w:r>
        <w:rPr>
          <w:color w:val="6E6158"/>
        </w:rPr>
        <w:t>Administration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</w:p>
    <w:p>
      <w:pPr>
        <w:pStyle w:val="BodyText"/>
        <w:spacing w:before="9"/>
      </w:pPr>
      <w:r>
        <w:rPr>
          <w:color w:val="6E6158"/>
        </w:rPr>
        <w:t>Washington)?”</w:t>
      </w:r>
      <w:r>
        <w:rPr>
          <w:color w:val="6E6158"/>
          <w:spacing w:val="11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Craig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1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Employment</w:t>
      </w:r>
      <w:r>
        <w:rPr>
          <w:color w:val="6E6158"/>
          <w:spacing w:val="11"/>
        </w:rPr>
        <w:t> </w:t>
      </w:r>
      <w:r>
        <w:rPr>
          <w:color w:val="6E6158"/>
        </w:rPr>
        <w:t>Seminar,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4,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74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“The</w:t>
      </w:r>
      <w:r>
        <w:rPr>
          <w:color w:val="6E6158"/>
          <w:spacing w:val="11"/>
        </w:rPr>
        <w:t> </w:t>
      </w:r>
      <w:r>
        <w:rPr>
          <w:color w:val="6E6158"/>
        </w:rPr>
        <w:t>Rebirth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Standalone</w:t>
      </w:r>
      <w:r>
        <w:rPr>
          <w:color w:val="6E6158"/>
          <w:spacing w:val="10"/>
        </w:rPr>
        <w:t> </w:t>
      </w:r>
      <w:r>
        <w:rPr>
          <w:color w:val="6E6158"/>
        </w:rPr>
        <w:t>HRAs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Employers</w:t>
      </w:r>
      <w:r>
        <w:rPr>
          <w:color w:val="6E6158"/>
          <w:spacing w:val="11"/>
        </w:rPr>
        <w:t> </w:t>
      </w:r>
      <w:r>
        <w:rPr>
          <w:color w:val="6E6158"/>
        </w:rPr>
        <w:t>After</w:t>
      </w:r>
      <w:r>
        <w:rPr>
          <w:color w:val="6E6158"/>
          <w:spacing w:val="10"/>
        </w:rPr>
        <w:t> </w:t>
      </w:r>
      <w:r>
        <w:rPr>
          <w:color w:val="6E6158"/>
        </w:rPr>
        <w:t>ACA,”</w:t>
      </w:r>
      <w:r>
        <w:rPr>
          <w:color w:val="6E6158"/>
          <w:spacing w:val="11"/>
        </w:rPr>
        <w:t> </w:t>
      </w:r>
      <w:r>
        <w:rPr>
          <w:color w:val="6E6158"/>
        </w:rPr>
        <w:t>GLSA,</w:t>
      </w:r>
      <w:r>
        <w:rPr>
          <w:color w:val="6E6158"/>
          <w:spacing w:val="11"/>
        </w:rPr>
        <w:t> </w:t>
      </w:r>
      <w:r>
        <w:rPr>
          <w:color w:val="6E6158"/>
        </w:rPr>
        <w:t>April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4"/>
        <w:ind w:right="352"/>
      </w:pPr>
      <w:r>
        <w:rPr>
          <w:color w:val="6E6158"/>
        </w:rPr>
        <w:t>Co-author, “Filing Your 2016 Tax Return? The ACA’s Individual Mandate and Penalties Still Apply,” Fennemore Client Alert, March 7, 2017</w:t>
      </w:r>
    </w:p>
    <w:p>
      <w:pPr>
        <w:pStyle w:val="BodyText"/>
        <w:spacing w:line="292" w:lineRule="auto" w:before="131"/>
      </w:pPr>
      <w:r>
        <w:rPr>
          <w:color w:val="6E6158"/>
        </w:rPr>
        <w:t>Speaker, “Affordable Care Act – 2016 and Beyond!” Worldwide Employee Benefits Network, May </w:t>
      </w:r>
      <w:r>
        <w:rPr>
          <w:color w:val="6E6158"/>
          <w:spacing w:val="-4"/>
        </w:rPr>
        <w:t>2016</w:t>
      </w:r>
    </w:p>
    <w:p>
      <w:pPr>
        <w:pStyle w:val="BodyText"/>
        <w:spacing w:line="292" w:lineRule="auto" w:before="124"/>
        <w:ind w:right="352"/>
      </w:pPr>
      <w:r>
        <w:rPr>
          <w:color w:val="6E6158"/>
        </w:rPr>
        <w:t>Speaker, “What Every Professional Needs to Know About Health &amp; Welfare Plans,” Western Pension &amp; Benefits Council Spring Conference, April 2016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2191"/>
      </w:pPr>
      <w:r>
        <w:rPr>
          <w:color w:val="6E6158"/>
        </w:rPr>
        <w:t>Member, Board of Directors, Greater Phoenix Chamber of </w:t>
      </w:r>
      <w:r>
        <w:rPr>
          <w:color w:val="6E6158"/>
        </w:rPr>
        <w:t>Commerce Member, IRS Pacific Coast TE/GE Council</w:t>
      </w:r>
    </w:p>
    <w:p>
      <w:pPr>
        <w:pStyle w:val="BodyText"/>
        <w:spacing w:line="427" w:lineRule="auto"/>
        <w:ind w:right="5676"/>
      </w:pPr>
      <w:r>
        <w:rPr>
          <w:color w:val="6E6158"/>
        </w:rPr>
        <w:t>Member, State Bar of Nevada Member, Arizona Bar </w:t>
      </w:r>
      <w:r>
        <w:rPr>
          <w:color w:val="6E6158"/>
        </w:rPr>
        <w:t>Association</w:t>
      </w:r>
    </w:p>
    <w:p>
      <w:pPr>
        <w:pStyle w:val="BodyText"/>
        <w:spacing w:line="226" w:lineRule="exact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Maricopa</w:t>
      </w:r>
      <w:r>
        <w:rPr>
          <w:color w:val="6E6158"/>
          <w:spacing w:val="9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2"/>
      </w:pPr>
      <w:r>
        <w:rPr>
          <w:color w:val="6E6158"/>
        </w:rPr>
        <w:t>Former</w:t>
      </w:r>
      <w:r>
        <w:rPr>
          <w:color w:val="6E6158"/>
          <w:spacing w:val="11"/>
        </w:rPr>
        <w:t> </w:t>
      </w: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Directors,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Museum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Natural</w:t>
      </w:r>
      <w:r>
        <w:rPr>
          <w:color w:val="6E6158"/>
          <w:spacing w:val="11"/>
        </w:rPr>
        <w:t> </w:t>
      </w:r>
      <w:r>
        <w:rPr>
          <w:color w:val="6E6158"/>
        </w:rPr>
        <w:t>History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risa-and-employee-benefit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rcurtis@fennemorelaw.com" TargetMode="External"/><Relationship Id="rId11" Type="http://schemas.openxmlformats.org/officeDocument/2006/relationships/hyperlink" Target="https://www.fennemorelaw.com/fennemores-erisa-team-scores-ninth-circuit-victory-clarifying-the-withdrawal-liability-building-and-construction-exception/" TargetMode="External"/><Relationship Id="rId12" Type="http://schemas.openxmlformats.org/officeDocument/2006/relationships/hyperlink" Target="https://www.fennemorelaw.com/irs-updates-retirement-plan-correction-procedures/#_ftn1" TargetMode="External"/><Relationship Id="rId13" Type="http://schemas.openxmlformats.org/officeDocument/2006/relationships/hyperlink" Target="https://www.fennemorelaw.com/treasury-issues-temporary-regulations-on-trump-accounts-and-contributions/" TargetMode="External"/><Relationship Id="rId14" Type="http://schemas.openxmlformats.org/officeDocument/2006/relationships/hyperlink" Target="https://www.fennemorelaw.com/supreme-court-makes-it-easier-for-plaintiffs-to-sue-plan-fiduciaries/" TargetMode="External"/><Relationship Id="rId15" Type="http://schemas.openxmlformats.org/officeDocument/2006/relationships/hyperlink" Target="https://www.fennemorelaw.com/justices-likely-to-stay-in-erisas-bounds-on-pleadings/" TargetMode="External"/><Relationship Id="rId16" Type="http://schemas.openxmlformats.org/officeDocument/2006/relationships/hyperlink" Target="https://inbusinessphx.com/legal-regulations/buying-or-selling-a-business-look-out-for-employee-benefits-issues" TargetMode="External"/><Relationship Id="rId17" Type="http://schemas.openxmlformats.org/officeDocument/2006/relationships/hyperlink" Target="https://azbigmedia.com/business/buying-or-selling-a-business-watch-for-these-employee-benefits-issues/" TargetMode="External"/><Relationship Id="rId18" Type="http://schemas.openxmlformats.org/officeDocument/2006/relationships/hyperlink" Target="https://www.fennemorelaw.com/buying-or-selling-a-business-dont-forget-to-look-out-for-these-employee-benefits-issues/" TargetMode="External"/><Relationship Id="rId19" Type="http://schemas.openxmlformats.org/officeDocument/2006/relationships/hyperlink" Target="https://mailchi.mp/fennemorelaw/roth-catch-up-contributions-15828694?e=521c02bb5c" TargetMode="External"/><Relationship Id="rId20" Type="http://schemas.openxmlformats.org/officeDocument/2006/relationships/hyperlink" Target="https://mailchi.mp/fennemorelaw/roth-catch-up-contributions" TargetMode="External"/><Relationship Id="rId21" Type="http://schemas.openxmlformats.org/officeDocument/2006/relationships/hyperlink" Target="https://mailchi.mp/fennemorelaw/erisa-gag-clause?e=%5bUNIQID" TargetMode="External"/><Relationship Id="rId22" Type="http://schemas.openxmlformats.org/officeDocument/2006/relationships/hyperlink" Target="https://www.azattorneymag-digital.com/azattorneymag/library/item/202304/4090520/" TargetMode="External"/><Relationship Id="rId23" Type="http://schemas.openxmlformats.org/officeDocument/2006/relationships/hyperlink" Target="https://www.pbs.org/video/01-24-2023-jeff-flake-phoenix-police-chief-secure-act-20-4zi3ty/" TargetMode="External"/><Relationship Id="rId24" Type="http://schemas.openxmlformats.org/officeDocument/2006/relationships/hyperlink" Target="https://inbusinessphx.com/healthcare-wellness/the-new-mandatory-cobra-subsidy-what-employers-need-to-know#.YIsfu7VKgUH" TargetMode="External"/><Relationship Id="rId25" Type="http://schemas.openxmlformats.org/officeDocument/2006/relationships/hyperlink" Target="https://www.fennemorelaw.com/insights/newsletters/2021/employers-required-to-temporarily-subsidize-cobra-premiums-subject-to-reimbursement" TargetMode="External"/><Relationship Id="rId26" Type="http://schemas.openxmlformats.org/officeDocument/2006/relationships/hyperlink" Target="https://www.mondaq.com/Article/1023586" TargetMode="External"/><Relationship Id="rId27" Type="http://schemas.openxmlformats.org/officeDocument/2006/relationships/hyperlink" Target="https://www.fennemorelaw.com/insights/newsletters/2021/new-covid-19-legislation-provides-partial-plan-termination-relief" TargetMode="External"/><Relationship Id="rId28" Type="http://schemas.openxmlformats.org/officeDocument/2006/relationships/hyperlink" Target="https://www.fennemorelaw.com/insights/newsletters/2020/irs-issues-initial-guidance-on-the-secure-act" TargetMode="External"/><Relationship Id="rId29" Type="http://schemas.openxmlformats.org/officeDocument/2006/relationships/hyperlink" Target="https://www.fennemorelaw.com/insights/newsletters/2020/department-of-labor-announces-new-safe-harbor-for-electronic-communications-to-participants-of-qualified-retirement-plans" TargetMode="External"/><Relationship Id="rId30" Type="http://schemas.openxmlformats.org/officeDocument/2006/relationships/hyperlink" Target="https://www.fennemorelaw.com/insights/newsletters/2020/the-cares-act-implications-for-health-and-welfare-benefits" TargetMode="External"/><Relationship Id="rId31" Type="http://schemas.openxmlformats.org/officeDocument/2006/relationships/hyperlink" Target="http://inbusinessphx.com/in-business/the-secure-act#.XpCN9chKiUk" TargetMode="External"/><Relationship Id="rId32" Type="http://schemas.openxmlformats.org/officeDocument/2006/relationships/hyperlink" Target="https://www.fennemorelaw.com/insights/newsletters/2020/the-cares-act-implications-for-qualified-retirement-plans" TargetMode="External"/><Relationship Id="rId33" Type="http://schemas.openxmlformats.org/officeDocument/2006/relationships/hyperlink" Target="https://www.fennemorelaw.com/insights/newsletters/2020/covid-19-health-plan-coverage-for-furloughed-employees" TargetMode="External"/><Relationship Id="rId34" Type="http://schemas.openxmlformats.org/officeDocument/2006/relationships/hyperlink" Target="https://www.fennemorelaw.com/insights/newsletters/2020/understanding-the-emergency-family-medical-leave-expansion-act-and-emergency-paid-sick-leave-in-the-families-first-coronavirus-response-act" TargetMode="External"/><Relationship Id="rId35" Type="http://schemas.openxmlformats.org/officeDocument/2006/relationships/hyperlink" Target="https://www.fennemorelaw.com/insights/newsletters/2020/hipaa-implications-of-covid-19" TargetMode="External"/><Relationship Id="rId36" Type="http://schemas.openxmlformats.org/officeDocument/2006/relationships/hyperlink" Target="https://www.fennemorelaw.com/insights/newsletters/2020/covid-19-testing-and-treatment-copays-deductibles-and-hsa-implications" TargetMode="External"/><Relationship Id="rId37" Type="http://schemas.openxmlformats.org/officeDocument/2006/relationships/hyperlink" Target="https://www.fennemorelaw.com/insights/newsletters/2020/the-secure-act-what-plan-sponsors-need-to-know" TargetMode="External"/><Relationship Id="rId38" Type="http://schemas.openxmlformats.org/officeDocument/2006/relationships/hyperlink" Target="https://clientalert.fennemorecraig.com/secure_plan_sponsors" TargetMode="External"/><Relationship Id="rId39" Type="http://schemas.openxmlformats.org/officeDocument/2006/relationships/hyperlink" Target="https://www.fennemorelaw.com/insights/newsletters/2018/attention-arizona-small-employers-don-t-let-arizona-s-new-mini-cobra-law-bite-you-" TargetMode="External"/><Relationship Id="rId40" Type="http://schemas.openxmlformats.org/officeDocument/2006/relationships/hyperlink" Target="https://www.fennemorelaw.com/insights/newsletters/2018/dol-s-fiduciary-rule-vacated-by-the-fifth-circuit-the-latest-twist-in-a-never-ending-story" TargetMode="External"/><Relationship Id="rId41" Type="http://schemas.openxmlformats.org/officeDocument/2006/relationships/hyperlink" Target="https://www.fennemorelaw.com/insights/newsletters/2018/death-taxes-and-the-affordable-care-act-s-individual-and-employer-mandates-taxpayers-and-employers-still-have-important-obligations-under-the-aca" TargetMode="External"/><Relationship Id="rId42" Type="http://schemas.openxmlformats.org/officeDocument/2006/relationships/hyperlink" Target="https://www.fennemorelaw.com/insights/newsletters/2017/qsehra-update-irs-provides-promised-additional-guidance-for-qualified-small-employer-health-reimbursement-arrangement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C. Curtis - Fennemore</dc:title>
  <dcterms:created xsi:type="dcterms:W3CDTF">2026-10-27T17:27:14Z</dcterms:created>
  <dcterms:modified xsi:type="dcterms:W3CDTF">2026-10-27T17:27:14Z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2026-10-27T00:00:00Z</vt:filetime>
  </property>
  <property fmtid="{D5CDD505-2E9C-101B-9397-08002B2CF9AE}" pid="6" name="Producer">
    <vt:lpwstr>Skia/PDF m156</vt:lpwstr>
  </property>
</Properties>
</file>