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39"/>
        </w:rPr>
      </w:pPr>
    </w:p>
    <w:p>
      <w:pPr>
        <w:pStyle w:val="BodyText"/>
        <w:spacing w:before="339"/>
        <w:rPr>
          <w:rFonts w:ascii="Times New Roman"/>
          <w:sz w:val="39"/>
        </w:rPr>
      </w:pPr>
    </w:p>
    <w:p>
      <w:pPr>
        <w:spacing w:line="216" w:lineRule="auto" w:before="1"/>
        <w:ind w:left="5199" w:right="422" w:firstLine="0"/>
        <w:jc w:val="center"/>
        <w:rPr>
          <w:sz w:val="39"/>
        </w:rPr>
      </w:pPr>
      <w:r>
        <w:rPr>
          <w:sz w:val="39"/>
        </w:rPr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848486</wp:posOffset>
                </wp:positionH>
                <wp:positionV relativeFrom="paragraph">
                  <wp:posOffset>-787986</wp:posOffset>
                </wp:positionV>
                <wp:extent cx="6071870" cy="42995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299585"/>
                          <a:chExt cx="6071870" cy="42995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137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137285">
                                <a:moveTo>
                                  <a:pt x="6071591" y="1136808"/>
                                </a:moveTo>
                                <a:lnTo>
                                  <a:pt x="0" y="1136808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1368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SherrylKellogg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62.046192pt;width:478.1pt;height:338.55pt;mso-position-horizontal-relative:page;mso-position-vertical-relative:paragraph;z-index:-15773696" id="docshapegroup1" coordorigin="1336,-1241" coordsize="9562,6771">
                <v:rect style="position:absolute;left:1336;top:3739;width:9562;height:1791" id="docshape2" filled="true" fillcolor="#002e6d" stroked="false">
                  <v:fill type="solid"/>
                </v:rect>
                <v:shape style="position:absolute;left:1336;top:-1241;width:2165;height:424" type="#_x0000_t75" id="docshape3" alt="Fennemore" href="https://www.fennemorelaw.com/" stroked="false">
                  <v:imagedata r:id="rId5" o:title=""/>
                </v:shape>
                <v:shape style="position:absolute;left:1336;top:-818;width:4785;height:4557" type="#_x0000_t75" id="docshape4" alt="SherrylKellogg bio" stroked="false">
                  <v:imagedata r:id="rId7" o:title=""/>
                </v:shape>
                <v:rect style="position:absolute;left:6121;top:-818;width:4777;height:4557" id="docshape5" filled="true" fillcolor="#262424" stroked="false">
                  <v:fill type="solid"/>
                </v:rect>
                <v:shape style="position:absolute;left:6837;top:1346;width:3337;height:505" id="docshape6" coordorigin="6837,1347" coordsize="3337,505" path="m10174,1843l6837,1843,6837,1851,10174,1851,10174,1843xm10174,1347l6837,1347,6837,1355,10174,1355,10174,134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z w:val="39"/>
        </w:rPr>
        <w:t>SHERRYL</w:t>
      </w:r>
      <w:r>
        <w:rPr>
          <w:color w:val="FFFFFF"/>
          <w:spacing w:val="-27"/>
          <w:sz w:val="39"/>
        </w:rPr>
        <w:t> </w:t>
      </w:r>
      <w:r>
        <w:rPr>
          <w:color w:val="FFFFFF"/>
          <w:sz w:val="39"/>
        </w:rPr>
        <w:t>K. </w:t>
      </w:r>
      <w:r>
        <w:rPr>
          <w:color w:val="FFFFFF"/>
          <w:spacing w:val="-2"/>
          <w:sz w:val="39"/>
        </w:rPr>
        <w:t>KELLOGG</w:t>
      </w:r>
    </w:p>
    <w:p>
      <w:pPr>
        <w:spacing w:before="48"/>
        <w:ind w:left="5199" w:right="425" w:firstLine="0"/>
        <w:jc w:val="center"/>
        <w:rPr>
          <w:sz w:val="24"/>
        </w:rPr>
      </w:pPr>
      <w:r>
        <w:rPr>
          <w:color w:val="FFFFFF"/>
          <w:spacing w:val="-2"/>
          <w:sz w:val="24"/>
        </w:rPr>
        <w:t>Paralegal</w:t>
      </w:r>
    </w:p>
    <w:p>
      <w:pPr>
        <w:spacing w:before="291"/>
        <w:ind w:left="5199" w:right="425" w:firstLine="0"/>
        <w:jc w:val="center"/>
        <w:rPr>
          <w:sz w:val="16"/>
        </w:rPr>
      </w:pPr>
      <w:hyperlink r:id="rId8">
        <w:r>
          <w:rPr>
            <w:color w:val="FFFFFF"/>
            <w:sz w:val="16"/>
          </w:rPr>
          <w:t>Trusts &amp; </w:t>
        </w:r>
        <w:r>
          <w:rPr>
            <w:color w:val="FFFFFF"/>
            <w:spacing w:val="-2"/>
            <w:sz w:val="16"/>
          </w:rPr>
          <w:t>Estates</w:t>
        </w:r>
      </w:hyperlink>
    </w:p>
    <w:p>
      <w:pPr>
        <w:pStyle w:val="BodyText"/>
        <w:spacing w:before="8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92"/>
        <w:rPr>
          <w:sz w:val="24"/>
        </w:rPr>
      </w:pPr>
    </w:p>
    <w:p>
      <w:pPr>
        <w:pStyle w:val="Heading2"/>
      </w:pPr>
      <w:r>
        <w:rPr>
          <w:color w:val="002E6B"/>
        </w:rPr>
        <w:t>SHERRYL</w:t>
      </w:r>
      <w:r>
        <w:rPr>
          <w:color w:val="002E6B"/>
          <w:spacing w:val="-14"/>
        </w:rPr>
        <w:t> </w:t>
      </w:r>
      <w:r>
        <w:rPr>
          <w:b w:val="0"/>
          <w:color w:val="FFFFFF"/>
          <w:spacing w:val="-710"/>
          <w:w w:val="99"/>
          <w:position w:val="15"/>
          <w:sz w:val="145"/>
        </w:rPr>
        <w:t>“</w:t>
      </w:r>
      <w:r>
        <w:rPr>
          <w:color w:val="002E6B"/>
        </w:rPr>
        <w:t>K.</w:t>
      </w:r>
      <w:r>
        <w:rPr>
          <w:color w:val="002E6B"/>
          <w:spacing w:val="12"/>
        </w:rPr>
        <w:t> </w:t>
      </w:r>
      <w:r>
        <w:rPr>
          <w:color w:val="002E6B"/>
          <w:spacing w:val="-2"/>
        </w:rPr>
        <w:t>KELLOGG</w:t>
      </w:r>
    </w:p>
    <w:p>
      <w:pPr>
        <w:spacing w:before="103"/>
        <w:ind w:left="1503" w:right="0" w:firstLine="0"/>
        <w:jc w:val="center"/>
        <w:rPr>
          <w:sz w:val="16"/>
        </w:rPr>
      </w:pPr>
      <w:r>
        <w:rPr/>
        <w:br w:type="column"/>
      </w:r>
      <w:hyperlink r:id="rId9">
        <w:r>
          <w:rPr>
            <w:color w:val="FFFFFF"/>
            <w:spacing w:val="-2"/>
            <w:sz w:val="16"/>
          </w:rPr>
          <w:t>Fresno</w:t>
        </w:r>
      </w:hyperlink>
    </w:p>
    <w:p>
      <w:pPr>
        <w:spacing w:before="54"/>
        <w:ind w:left="1503" w:right="0" w:firstLine="0"/>
        <w:jc w:val="center"/>
        <w:rPr>
          <w:sz w:val="17"/>
        </w:rPr>
      </w:pPr>
      <w:r>
        <w:rPr>
          <w:color w:val="FFFFFF"/>
          <w:sz w:val="17"/>
        </w:rPr>
        <w:t>P: </w:t>
      </w:r>
      <w:r>
        <w:rPr>
          <w:color w:val="FFFFFF"/>
          <w:spacing w:val="-2"/>
          <w:sz w:val="17"/>
        </w:rPr>
        <w:t>559.753.2804</w:t>
      </w:r>
    </w:p>
    <w:p>
      <w:pPr>
        <w:spacing w:before="119"/>
        <w:ind w:left="1503" w:right="0" w:firstLine="0"/>
        <w:jc w:val="center"/>
        <w:rPr>
          <w:sz w:val="16"/>
        </w:rPr>
      </w:pPr>
      <w:hyperlink r:id="rId10">
        <w:r>
          <w:rPr>
            <w:color w:val="FFFFFF"/>
            <w:spacing w:val="-2"/>
            <w:sz w:val="16"/>
          </w:rPr>
          <w:t>skellogg@fennemorelaw.com</w:t>
        </w:r>
      </w:hyperlink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10"/>
        <w:rPr>
          <w:sz w:val="16"/>
        </w:rPr>
      </w:pPr>
    </w:p>
    <w:p>
      <w:pPr>
        <w:tabs>
          <w:tab w:pos="4274" w:val="left" w:leader="none"/>
        </w:tabs>
        <w:spacing w:before="1"/>
        <w:ind w:left="99" w:right="0" w:firstLine="0"/>
        <w:jc w:val="left"/>
        <w:rPr>
          <w:position w:val="-89"/>
          <w:sz w:val="145"/>
        </w:rPr>
      </w:pPr>
      <w:r>
        <w:rPr>
          <w:color w:val="FFFFFF"/>
          <w:spacing w:val="-4"/>
          <w:sz w:val="16"/>
        </w:rPr>
        <w:t>Perfection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is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the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enemy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of</w:t>
      </w:r>
      <w:r>
        <w:rPr>
          <w:color w:val="FFFFFF"/>
          <w:spacing w:val="-7"/>
          <w:sz w:val="16"/>
        </w:rPr>
        <w:t> </w:t>
      </w:r>
      <w:r>
        <w:rPr>
          <w:color w:val="FFFFFF"/>
          <w:spacing w:val="-4"/>
          <w:sz w:val="16"/>
        </w:rPr>
        <w:t>progress.</w:t>
      </w:r>
      <w:r>
        <w:rPr>
          <w:color w:val="FFFFFF"/>
          <w:sz w:val="16"/>
        </w:rPr>
        <w:tab/>
      </w:r>
      <w:r>
        <w:rPr>
          <w:color w:val="FFFFFF"/>
          <w:spacing w:val="-10"/>
          <w:position w:val="-89"/>
          <w:sz w:val="145"/>
        </w:rPr>
        <w:t>”</w:t>
      </w:r>
    </w:p>
    <w:p>
      <w:pPr>
        <w:spacing w:after="0"/>
        <w:jc w:val="left"/>
        <w:rPr>
          <w:position w:val="-89"/>
          <w:sz w:val="145"/>
        </w:rPr>
        <w:sectPr>
          <w:type w:val="continuous"/>
          <w:pgSz w:w="12240" w:h="15840"/>
          <w:pgMar w:top="560" w:bottom="280" w:left="1440" w:right="1440"/>
          <w:cols w:num="2" w:equalWidth="0">
            <w:col w:w="2567" w:space="705"/>
            <w:col w:w="6088"/>
          </w:cols>
        </w:sectPr>
      </w:pPr>
    </w:p>
    <w:p>
      <w:pPr>
        <w:pStyle w:val="BodyText"/>
        <w:spacing w:before="21"/>
        <w:ind w:left="99"/>
      </w:pPr>
      <w:r>
        <w:rPr>
          <w:color w:val="6E6158"/>
        </w:rPr>
        <w:t>Sherryl</w:t>
      </w:r>
      <w:r>
        <w:rPr>
          <w:color w:val="6E6158"/>
          <w:spacing w:val="10"/>
        </w:rPr>
        <w:t> </w:t>
      </w:r>
      <w:r>
        <w:rPr>
          <w:color w:val="6E6158"/>
        </w:rPr>
        <w:t>Kellogg</w:t>
      </w:r>
      <w:r>
        <w:rPr>
          <w:color w:val="6E6158"/>
          <w:spacing w:val="10"/>
        </w:rPr>
        <w:t> </w:t>
      </w:r>
      <w:r>
        <w:rPr>
          <w:color w:val="6E6158"/>
        </w:rPr>
        <w:t>is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paralegal</w:t>
      </w:r>
      <w:r>
        <w:rPr>
          <w:color w:val="6E6158"/>
          <w:spacing w:val="11"/>
        </w:rPr>
        <w:t> </w:t>
      </w:r>
      <w:r>
        <w:rPr>
          <w:color w:val="6E6158"/>
        </w:rPr>
        <w:t>whose</w:t>
      </w:r>
      <w:r>
        <w:rPr>
          <w:color w:val="6E6158"/>
          <w:spacing w:val="10"/>
        </w:rPr>
        <w:t> </w:t>
      </w:r>
      <w:r>
        <w:rPr>
          <w:color w:val="6E6158"/>
        </w:rPr>
        <w:t>legal</w:t>
      </w:r>
      <w:r>
        <w:rPr>
          <w:color w:val="6E6158"/>
          <w:spacing w:val="11"/>
        </w:rPr>
        <w:t> </w:t>
      </w:r>
      <w:r>
        <w:rPr>
          <w:color w:val="6E6158"/>
        </w:rPr>
        <w:t>career</w:t>
      </w:r>
      <w:r>
        <w:rPr>
          <w:color w:val="6E6158"/>
          <w:spacing w:val="10"/>
        </w:rPr>
        <w:t> </w:t>
      </w:r>
      <w:r>
        <w:rPr>
          <w:color w:val="6E6158"/>
        </w:rPr>
        <w:t>began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2018.</w:t>
      </w:r>
      <w:r>
        <w:rPr>
          <w:color w:val="6E6158"/>
          <w:spacing w:val="11"/>
        </w:rPr>
        <w:t> </w:t>
      </w:r>
      <w:r>
        <w:rPr>
          <w:color w:val="6E6158"/>
        </w:rPr>
        <w:t>She</w:t>
      </w:r>
      <w:r>
        <w:rPr>
          <w:color w:val="6E6158"/>
          <w:spacing w:val="10"/>
        </w:rPr>
        <w:t> </w:t>
      </w:r>
      <w:r>
        <w:rPr>
          <w:color w:val="6E6158"/>
        </w:rPr>
        <w:t>assists</w:t>
      </w:r>
      <w:r>
        <w:rPr>
          <w:color w:val="6E6158"/>
          <w:spacing w:val="11"/>
        </w:rPr>
        <w:t> </w:t>
      </w:r>
      <w:r>
        <w:rPr>
          <w:color w:val="6E6158"/>
        </w:rPr>
        <w:t>clients</w:t>
      </w:r>
      <w:r>
        <w:rPr>
          <w:color w:val="6E6158"/>
          <w:spacing w:val="10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trust</w:t>
      </w:r>
    </w:p>
    <w:p>
      <w:pPr>
        <w:pStyle w:val="BodyText"/>
        <w:spacing w:line="292" w:lineRule="auto" w:before="60"/>
        <w:ind w:left="99" w:right="257"/>
      </w:pPr>
      <w:r>
        <w:rPr>
          <w:color w:val="6E6158"/>
        </w:rPr>
        <w:t>administration,</w:t>
      </w:r>
      <w:r>
        <w:rPr>
          <w:color w:val="6E6158"/>
          <w:spacing w:val="17"/>
        </w:rPr>
        <w:t> </w:t>
      </w:r>
      <w:r>
        <w:rPr>
          <w:color w:val="6E6158"/>
        </w:rPr>
        <w:t>estate</w:t>
      </w:r>
      <w:r>
        <w:rPr>
          <w:color w:val="6E6158"/>
          <w:spacing w:val="17"/>
        </w:rPr>
        <w:t> </w:t>
      </w:r>
      <w:r>
        <w:rPr>
          <w:color w:val="6E6158"/>
        </w:rPr>
        <w:t>planning,</w:t>
      </w:r>
      <w:r>
        <w:rPr>
          <w:color w:val="6E6158"/>
          <w:spacing w:val="17"/>
        </w:rPr>
        <w:t> </w:t>
      </w:r>
      <w:r>
        <w:rPr>
          <w:color w:val="6E6158"/>
        </w:rPr>
        <w:t>preparation</w:t>
      </w:r>
      <w:r>
        <w:rPr>
          <w:color w:val="6E6158"/>
          <w:spacing w:val="17"/>
        </w:rPr>
        <w:t> </w:t>
      </w:r>
      <w:r>
        <w:rPr>
          <w:color w:val="6E6158"/>
        </w:rPr>
        <w:t>of</w:t>
      </w:r>
      <w:r>
        <w:rPr>
          <w:color w:val="6E6158"/>
          <w:spacing w:val="17"/>
        </w:rPr>
        <w:t> </w:t>
      </w:r>
      <w:r>
        <w:rPr>
          <w:color w:val="6E6158"/>
        </w:rPr>
        <w:t>federal</w:t>
      </w:r>
      <w:r>
        <w:rPr>
          <w:color w:val="6E6158"/>
          <w:spacing w:val="17"/>
        </w:rPr>
        <w:t> </w:t>
      </w:r>
      <w:r>
        <w:rPr>
          <w:color w:val="6E6158"/>
        </w:rPr>
        <w:t>estate</w:t>
      </w:r>
      <w:r>
        <w:rPr>
          <w:color w:val="6E6158"/>
          <w:spacing w:val="17"/>
        </w:rPr>
        <w:t> </w:t>
      </w:r>
      <w:r>
        <w:rPr>
          <w:color w:val="6E6158"/>
        </w:rPr>
        <w:t>tax</w:t>
      </w:r>
      <w:r>
        <w:rPr>
          <w:color w:val="6E6158"/>
          <w:spacing w:val="17"/>
        </w:rPr>
        <w:t> </w:t>
      </w:r>
      <w:r>
        <w:rPr>
          <w:color w:val="6E6158"/>
        </w:rPr>
        <w:t>returns</w:t>
      </w:r>
      <w:r>
        <w:rPr>
          <w:color w:val="6E6158"/>
          <w:spacing w:val="17"/>
        </w:rPr>
        <w:t> </w:t>
      </w:r>
      <w:r>
        <w:rPr>
          <w:color w:val="6E6158"/>
        </w:rPr>
        <w:t>(Form</w:t>
      </w:r>
      <w:r>
        <w:rPr>
          <w:color w:val="6E6158"/>
          <w:spacing w:val="17"/>
        </w:rPr>
        <w:t> </w:t>
      </w:r>
      <w:r>
        <w:rPr>
          <w:color w:val="6E6158"/>
        </w:rPr>
        <w:t>706),</w:t>
      </w:r>
      <w:r>
        <w:rPr>
          <w:color w:val="6E6158"/>
          <w:spacing w:val="17"/>
        </w:rPr>
        <w:t> </w:t>
      </w:r>
      <w:r>
        <w:rPr>
          <w:color w:val="6E6158"/>
        </w:rPr>
        <w:t>and</w:t>
      </w:r>
      <w:r>
        <w:rPr>
          <w:color w:val="6E6158"/>
          <w:spacing w:val="17"/>
        </w:rPr>
        <w:t> </w:t>
      </w:r>
      <w:r>
        <w:rPr>
          <w:color w:val="6E6158"/>
        </w:rPr>
        <w:t>entity-related matters.</w:t>
      </w:r>
    </w:p>
    <w:p>
      <w:pPr>
        <w:pStyle w:val="BodyText"/>
        <w:spacing w:line="295" w:lineRule="auto" w:before="197"/>
        <w:ind w:left="99" w:right="124"/>
      </w:pPr>
      <w:r>
        <w:rPr>
          <w:color w:val="6E6158"/>
        </w:rPr>
        <w:t>Before</w:t>
      </w:r>
      <w:r>
        <w:rPr>
          <w:color w:val="6E6158"/>
          <w:spacing w:val="27"/>
        </w:rPr>
        <w:t> </w:t>
      </w:r>
      <w:r>
        <w:rPr>
          <w:color w:val="6E6158"/>
        </w:rPr>
        <w:t>transitioning</w:t>
      </w:r>
      <w:r>
        <w:rPr>
          <w:color w:val="6E6158"/>
          <w:spacing w:val="27"/>
        </w:rPr>
        <w:t> </w:t>
      </w:r>
      <w:r>
        <w:rPr>
          <w:color w:val="6E6158"/>
        </w:rPr>
        <w:t>into</w:t>
      </w:r>
      <w:r>
        <w:rPr>
          <w:color w:val="6E6158"/>
          <w:spacing w:val="27"/>
        </w:rPr>
        <w:t> </w:t>
      </w:r>
      <w:r>
        <w:rPr>
          <w:color w:val="6E6158"/>
        </w:rPr>
        <w:t>her</w:t>
      </w:r>
      <w:r>
        <w:rPr>
          <w:color w:val="6E6158"/>
          <w:spacing w:val="27"/>
        </w:rPr>
        <w:t> </w:t>
      </w:r>
      <w:r>
        <w:rPr>
          <w:color w:val="6E6158"/>
        </w:rPr>
        <w:t>current</w:t>
      </w:r>
      <w:r>
        <w:rPr>
          <w:color w:val="6E6158"/>
          <w:spacing w:val="27"/>
        </w:rPr>
        <w:t> </w:t>
      </w:r>
      <w:r>
        <w:rPr>
          <w:color w:val="6E6158"/>
        </w:rPr>
        <w:t>paralegal</w:t>
      </w:r>
      <w:r>
        <w:rPr>
          <w:color w:val="6E6158"/>
          <w:spacing w:val="27"/>
        </w:rPr>
        <w:t> </w:t>
      </w:r>
      <w:r>
        <w:rPr>
          <w:color w:val="6E6158"/>
        </w:rPr>
        <w:t>role,</w:t>
      </w:r>
      <w:r>
        <w:rPr>
          <w:color w:val="6E6158"/>
          <w:spacing w:val="27"/>
        </w:rPr>
        <w:t> </w:t>
      </w:r>
      <w:r>
        <w:rPr>
          <w:color w:val="6E6158"/>
        </w:rPr>
        <w:t>she</w:t>
      </w:r>
      <w:r>
        <w:rPr>
          <w:color w:val="6E6158"/>
          <w:spacing w:val="27"/>
        </w:rPr>
        <w:t> </w:t>
      </w:r>
      <w:r>
        <w:rPr>
          <w:color w:val="6E6158"/>
        </w:rPr>
        <w:t>worked</w:t>
      </w:r>
      <w:r>
        <w:rPr>
          <w:color w:val="6E6158"/>
          <w:spacing w:val="27"/>
        </w:rPr>
        <w:t> </w:t>
      </w:r>
      <w:r>
        <w:rPr>
          <w:color w:val="6E6158"/>
        </w:rPr>
        <w:t>as</w:t>
      </w:r>
      <w:r>
        <w:rPr>
          <w:color w:val="6E6158"/>
          <w:spacing w:val="27"/>
        </w:rPr>
        <w:t> </w:t>
      </w:r>
      <w:r>
        <w:rPr>
          <w:color w:val="6E6158"/>
        </w:rPr>
        <w:t>a</w:t>
      </w:r>
      <w:r>
        <w:rPr>
          <w:color w:val="6E6158"/>
          <w:spacing w:val="27"/>
        </w:rPr>
        <w:t> </w:t>
      </w:r>
      <w:r>
        <w:rPr>
          <w:color w:val="6E6158"/>
        </w:rPr>
        <w:t>legal</w:t>
      </w:r>
      <w:r>
        <w:rPr>
          <w:color w:val="6E6158"/>
          <w:spacing w:val="27"/>
        </w:rPr>
        <w:t> </w:t>
      </w:r>
      <w:r>
        <w:rPr>
          <w:color w:val="6E6158"/>
        </w:rPr>
        <w:t>secretary,</w:t>
      </w:r>
      <w:r>
        <w:rPr>
          <w:color w:val="6E6158"/>
          <w:spacing w:val="27"/>
        </w:rPr>
        <w:t> </w:t>
      </w:r>
      <w:r>
        <w:rPr>
          <w:color w:val="6E6158"/>
        </w:rPr>
        <w:t>developing a</w:t>
      </w:r>
      <w:r>
        <w:rPr>
          <w:color w:val="6E6158"/>
          <w:spacing w:val="26"/>
        </w:rPr>
        <w:t> </w:t>
      </w:r>
      <w:r>
        <w:rPr>
          <w:color w:val="6E6158"/>
        </w:rPr>
        <w:t>strong</w:t>
      </w:r>
      <w:r>
        <w:rPr>
          <w:color w:val="6E6158"/>
          <w:spacing w:val="26"/>
        </w:rPr>
        <w:t> </w:t>
      </w:r>
      <w:r>
        <w:rPr>
          <w:color w:val="6E6158"/>
        </w:rPr>
        <w:t>foundation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client</w:t>
      </w:r>
      <w:r>
        <w:rPr>
          <w:color w:val="6E6158"/>
          <w:spacing w:val="26"/>
        </w:rPr>
        <w:t> </w:t>
      </w:r>
      <w:r>
        <w:rPr>
          <w:color w:val="6E6158"/>
        </w:rPr>
        <w:t>service,</w:t>
      </w:r>
      <w:r>
        <w:rPr>
          <w:color w:val="6E6158"/>
          <w:spacing w:val="26"/>
        </w:rPr>
        <w:t> </w:t>
      </w:r>
      <w:r>
        <w:rPr>
          <w:color w:val="6E6158"/>
        </w:rPr>
        <w:t>document</w:t>
      </w:r>
      <w:r>
        <w:rPr>
          <w:color w:val="6E6158"/>
          <w:spacing w:val="26"/>
        </w:rPr>
        <w:t> </w:t>
      </w:r>
      <w:r>
        <w:rPr>
          <w:color w:val="6E6158"/>
        </w:rPr>
        <w:t>preparation,</w:t>
      </w:r>
      <w:r>
        <w:rPr>
          <w:color w:val="6E6158"/>
          <w:spacing w:val="26"/>
        </w:rPr>
        <w:t> </w:t>
      </w:r>
      <w:r>
        <w:rPr>
          <w:color w:val="6E6158"/>
        </w:rPr>
        <w:t>matter</w:t>
      </w:r>
      <w:r>
        <w:rPr>
          <w:color w:val="6E6158"/>
          <w:spacing w:val="26"/>
        </w:rPr>
        <w:t> </w:t>
      </w:r>
      <w:r>
        <w:rPr>
          <w:color w:val="6E6158"/>
        </w:rPr>
        <w:t>coordination,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day-to-day management of legal matters. This experience allows her to approach her work with</w:t>
      </w:r>
      <w:r>
        <w:rPr>
          <w:color w:val="6E6158"/>
          <w:spacing w:val="40"/>
        </w:rPr>
        <w:t> </w:t>
      </w:r>
      <w:r>
        <w:rPr>
          <w:color w:val="6E6158"/>
        </w:rPr>
        <w:t>substantive knowledge and careful attention to organization, accuracy, and deadlines. She </w:t>
      </w:r>
      <w:r>
        <w:rPr>
          <w:color w:val="6E6158"/>
        </w:rPr>
        <w:t>also</w:t>
      </w:r>
      <w:r>
        <w:rPr>
          <w:color w:val="6E6158"/>
          <w:spacing w:val="40"/>
        </w:rPr>
        <w:t> </w:t>
      </w:r>
      <w:r>
        <w:rPr>
          <w:color w:val="6E6158"/>
        </w:rPr>
        <w:t>assists with a broad range of entity-related matters, including business formations, state filings,</w:t>
      </w:r>
      <w:r>
        <w:rPr>
          <w:color w:val="6E6158"/>
          <w:spacing w:val="40"/>
        </w:rPr>
        <w:t> </w:t>
      </w:r>
      <w:r>
        <w:rPr>
          <w:color w:val="6E6158"/>
        </w:rPr>
        <w:t>annual records maintenance, and the preparation and organization of corporate governance</w:t>
      </w:r>
      <w:r>
        <w:rPr>
          <w:color w:val="6E6158"/>
          <w:spacing w:val="40"/>
        </w:rPr>
        <w:t> </w:t>
      </w:r>
      <w:r>
        <w:rPr>
          <w:color w:val="6E6158"/>
        </w:rPr>
        <w:t>documents. She is also a Notary Public.</w:t>
      </w:r>
    </w:p>
    <w:p>
      <w:pPr>
        <w:pStyle w:val="BodyText"/>
        <w:spacing w:line="292" w:lineRule="auto" w:before="199"/>
        <w:ind w:left="99" w:right="210"/>
      </w:pPr>
      <w:r>
        <w:rPr>
          <w:color w:val="6E6158"/>
        </w:rPr>
        <w:t>As she continues to grow in her paralegal role, her primary emphasis will be supporting the firm’s</w:t>
      </w:r>
      <w:r>
        <w:rPr>
          <w:color w:val="6E6158"/>
          <w:spacing w:val="40"/>
        </w:rPr>
        <w:t> </w:t>
      </w:r>
      <w:r>
        <w:rPr>
          <w:color w:val="6E6158"/>
        </w:rPr>
        <w:t>entity practice and helping clients maintain accurate, timely, and well-organized business</w:t>
      </w:r>
      <w:r>
        <w:rPr>
          <w:color w:val="6E6158"/>
          <w:spacing w:val="80"/>
        </w:rPr>
        <w:t> </w:t>
      </w:r>
      <w:r>
        <w:rPr>
          <w:color w:val="6E6158"/>
        </w:rPr>
        <w:t>records.</w:t>
      </w:r>
      <w:r>
        <w:rPr>
          <w:color w:val="6E6158"/>
          <w:spacing w:val="30"/>
        </w:rPr>
        <w:t> </w:t>
      </w:r>
      <w:r>
        <w:rPr>
          <w:color w:val="6E6158"/>
        </w:rPr>
        <w:t>She</w:t>
      </w:r>
      <w:r>
        <w:rPr>
          <w:color w:val="6E6158"/>
          <w:spacing w:val="30"/>
        </w:rPr>
        <w:t> </w:t>
      </w:r>
      <w:r>
        <w:rPr>
          <w:color w:val="6E6158"/>
        </w:rPr>
        <w:t>values</w:t>
      </w:r>
      <w:r>
        <w:rPr>
          <w:color w:val="6E6158"/>
          <w:spacing w:val="30"/>
        </w:rPr>
        <w:t> </w:t>
      </w:r>
      <w:r>
        <w:rPr>
          <w:color w:val="6E6158"/>
        </w:rPr>
        <w:t>clear</w:t>
      </w:r>
      <w:r>
        <w:rPr>
          <w:color w:val="6E6158"/>
          <w:spacing w:val="30"/>
        </w:rPr>
        <w:t> </w:t>
      </w:r>
      <w:r>
        <w:rPr>
          <w:color w:val="6E6158"/>
        </w:rPr>
        <w:t>communication,</w:t>
      </w:r>
      <w:r>
        <w:rPr>
          <w:color w:val="6E6158"/>
          <w:spacing w:val="30"/>
        </w:rPr>
        <w:t> </w:t>
      </w:r>
      <w:r>
        <w:rPr>
          <w:color w:val="6E6158"/>
        </w:rPr>
        <w:t>dependable</w:t>
      </w:r>
      <w:r>
        <w:rPr>
          <w:color w:val="6E6158"/>
          <w:spacing w:val="30"/>
        </w:rPr>
        <w:t> </w:t>
      </w:r>
      <w:r>
        <w:rPr>
          <w:color w:val="6E6158"/>
        </w:rPr>
        <w:t>follow-through,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practical</w:t>
      </w:r>
      <w:r>
        <w:rPr>
          <w:color w:val="6E6158"/>
          <w:spacing w:val="30"/>
        </w:rPr>
        <w:t> </w:t>
      </w:r>
      <w:r>
        <w:rPr>
          <w:color w:val="6E6158"/>
        </w:rPr>
        <w:t>problem-</w:t>
      </w:r>
    </w:p>
    <w:p>
      <w:pPr>
        <w:pStyle w:val="BodyText"/>
        <w:spacing w:line="292" w:lineRule="auto" w:before="10"/>
        <w:ind w:left="99"/>
      </w:pPr>
      <w:r>
        <w:rPr>
          <w:color w:val="6E6158"/>
        </w:rPr>
        <w:t>solving. Sherryl takes pride in providing responsive support to attorneys and clients and in helping</w:t>
      </w:r>
      <w:r>
        <w:rPr>
          <w:color w:val="6E6158"/>
          <w:spacing w:val="40"/>
        </w:rPr>
        <w:t> </w:t>
      </w:r>
      <w:r>
        <w:rPr>
          <w:color w:val="6E6158"/>
        </w:rPr>
        <w:t>matters move forward efficiently and professionally.</w:t>
      </w:r>
    </w:p>
    <w:p>
      <w:pPr>
        <w:pStyle w:val="BodyText"/>
        <w:spacing w:line="302" w:lineRule="auto" w:before="197"/>
        <w:ind w:left="99" w:right="327"/>
      </w:pPr>
      <w:r>
        <w:rPr>
          <w:color w:val="6E6158"/>
        </w:rPr>
        <w:t>In her spare time, Sherryl can be found spending time with her grandkids, gardening, and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reading.</w:t>
      </w:r>
    </w:p>
    <w:p>
      <w:pPr>
        <w:pStyle w:val="Heading2"/>
        <w:spacing w:before="152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</w:rPr>
        <w:t>A.A.,</w:t>
      </w:r>
      <w:r>
        <w:rPr>
          <w:color w:val="6E6158"/>
          <w:spacing w:val="11"/>
        </w:rPr>
        <w:t> </w:t>
      </w:r>
      <w:r>
        <w:rPr>
          <w:color w:val="6E6158"/>
        </w:rPr>
        <w:t>College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2"/>
        </w:rPr>
        <w:t> </w:t>
      </w:r>
      <w:r>
        <w:rPr>
          <w:color w:val="6E6158"/>
        </w:rPr>
        <w:t>Sequoias,</w:t>
      </w:r>
      <w:r>
        <w:rPr>
          <w:color w:val="6E6158"/>
          <w:spacing w:val="11"/>
        </w:rPr>
        <w:t> </w:t>
      </w:r>
      <w:r>
        <w:rPr>
          <w:color w:val="6E6158"/>
        </w:rPr>
        <w:t>Visalia,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California.</w:t>
      </w:r>
    </w:p>
    <w:p>
      <w:pPr>
        <w:pStyle w:val="BodyText"/>
        <w:spacing w:before="162"/>
        <w:rPr>
          <w:sz w:val="24"/>
        </w:rPr>
      </w:pPr>
    </w:p>
    <w:p>
      <w:pPr>
        <w:spacing w:before="1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spacing w:after="0"/>
        <w:jc w:val="left"/>
        <w:rPr>
          <w:b/>
          <w:sz w:val="24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</w:pPr>
      <w:r>
        <w:rPr>
          <w:color w:val="6E6158"/>
        </w:rPr>
        <w:t>OTHER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EXPERIENCE</w:t>
      </w:r>
    </w:p>
    <w:p>
      <w:pPr>
        <w:pStyle w:val="BodyText"/>
        <w:spacing w:line="528" w:lineRule="exact" w:before="34"/>
        <w:ind w:left="99" w:right="6855"/>
      </w:pPr>
      <w:r>
        <w:rPr>
          <w:color w:val="6E6158"/>
        </w:rPr>
        <w:t>Entity-related </w:t>
      </w:r>
      <w:r>
        <w:rPr>
          <w:color w:val="6E6158"/>
        </w:rPr>
        <w:t>matters Trusts &amp; Estates</w:t>
      </w:r>
    </w:p>
    <w:p>
      <w:pPr>
        <w:pStyle w:val="BodyText"/>
        <w:spacing w:before="111"/>
        <w:ind w:left="99"/>
      </w:pPr>
      <w:r>
        <w:rPr>
          <w:color w:val="6E6158"/>
        </w:rPr>
        <w:t>Estate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Planning</w:t>
      </w:r>
    </w:p>
    <w:p>
      <w:pPr>
        <w:pStyle w:val="BodyText"/>
        <w:spacing w:before="171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5"/>
        <w:rPr>
          <w:b/>
          <w:sz w:val="20"/>
        </w:rPr>
      </w:pPr>
    </w:p>
    <w:p>
      <w:pPr>
        <w:spacing w:before="1"/>
        <w:ind w:left="99" w:right="0" w:firstLine="0"/>
        <w:jc w:val="left"/>
        <w:rPr>
          <w:i/>
          <w:sz w:val="20"/>
        </w:rPr>
      </w:pPr>
      <w:r>
        <w:rPr>
          <w:i/>
          <w:color w:val="6E6158"/>
          <w:spacing w:val="-2"/>
          <w:sz w:val="20"/>
        </w:rPr>
        <w:t>*Not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licensed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to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the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practice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2"/>
          <w:sz w:val="20"/>
        </w:rPr>
        <w:t>of</w:t>
      </w:r>
      <w:r>
        <w:rPr>
          <w:i/>
          <w:color w:val="6E6158"/>
          <w:spacing w:val="-7"/>
          <w:sz w:val="20"/>
        </w:rPr>
        <w:t> </w:t>
      </w:r>
      <w:r>
        <w:rPr>
          <w:i/>
          <w:color w:val="6E6158"/>
          <w:spacing w:val="-5"/>
          <w:sz w:val="20"/>
        </w:rPr>
        <w:t>law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9"/>
      <w:ind w:left="99"/>
      <w:outlineLvl w:val="1"/>
    </w:pPr>
    <w:rPr>
      <w:rFonts w:ascii="Century Gothic" w:hAnsi="Century Gothic" w:eastAsia="Century Gothic" w:cs="Century Gothic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trusts-estates/" TargetMode="External"/><Relationship Id="rId9" Type="http://schemas.openxmlformats.org/officeDocument/2006/relationships/hyperlink" Target="https://www.fennemorelaw.com/contact-us/fresno/" TargetMode="External"/><Relationship Id="rId10" Type="http://schemas.openxmlformats.org/officeDocument/2006/relationships/hyperlink" Target="mailto:skellogg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Sherryl K. Kellogg - Fennemore</dc:title>
  <dcterms:created xsi:type="dcterms:W3CDTF">2026-10-01T13:04:20Z</dcterms:created>
  <dcterms:modified xsi:type="dcterms:W3CDTF">2026-10-01T13:04:20Z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2026-10-01T00:00:00Z</vt:filetime>
  </property>
  <property fmtid="{D5CDD505-2E9C-101B-9397-08002B2CF9AE}" pid="6" name="Producer">
    <vt:lpwstr>Skia/PDF m153</vt:lpwstr>
  </property>
</Properties>
</file>