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76"/>
        <w:ind w:left="0"/>
        <w:rPr>
          <w:rFonts w:ascii="Times New Roman"/>
        </w:rPr>
      </w:pPr>
    </w:p>
    <w:p>
      <w:pPr>
        <w:pStyle w:val="BodyText"/>
        <w:spacing w:line="295" w:lineRule="auto" w:before="1"/>
        <w:ind w:right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-4554477</wp:posOffset>
                </wp:positionV>
                <wp:extent cx="6071870" cy="4462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462780"/>
                          <a:chExt cx="6071870" cy="4462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Timothy Ber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555098" y="1369338"/>
                            <a:ext cx="199517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5170" h="320675">
                                <a:moveTo>
                                  <a:pt x="1994585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994585" y="320382"/>
                                </a:lnTo>
                                <a:lnTo>
                                  <a:pt x="1994585" y="315214"/>
                                </a:lnTo>
                                <a:close/>
                              </a:path>
                              <a:path w="1995170" h="320675">
                                <a:moveTo>
                                  <a:pt x="1994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994585" y="5168"/>
                                </a:lnTo>
                                <a:lnTo>
                                  <a:pt x="1994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56241" y="763308"/>
                            <a:ext cx="200787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TIMOTHY J.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BERG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Appellate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57416" y="1859626"/>
                            <a:ext cx="4051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613243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19855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875807" y="2226505"/>
                            <a:ext cx="13684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tberg@fennemorelaw.com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31716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302683" y="3482163"/>
                            <a:ext cx="148272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Don't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fight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problem,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solve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it.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-George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Catlett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Marshall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274578"/>
                            <a:ext cx="125285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TIMOTHY</w:t>
                              </w:r>
                              <w:r>
                                <w:rPr>
                                  <w:b/>
                                  <w:color w:val="002E6B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J.</w:t>
                              </w:r>
                              <w:r>
                                <w:rPr>
                                  <w:b/>
                                  <w:color w:val="002E6B"/>
                                  <w:spacing w:val="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4"/>
                                  <w:sz w:val="24"/>
                                </w:rPr>
                                <w:t>BERG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31716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6203pt;width:478.1pt;height:351.4pt;mso-position-horizontal-relative:page;mso-position-vertical-relative:paragraph;z-index:15728640" id="docshapegroup1" coordorigin="1336,-7172" coordsize="9562,7028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173;width:2165;height:424" type="#_x0000_t75" id="docshape3" alt="Fennemore" href="https://www.fennemorelaw.com/" stroked="false">
                  <v:imagedata r:id="rId5" o:title=""/>
                </v:shape>
                <v:shape style="position:absolute;left:1336;top:-6750;width:4785;height:4126" type="#_x0000_t75" id="docshape4" alt="Timothy Berg" stroked="false">
                  <v:imagedata r:id="rId7" o:title=""/>
                </v:shape>
                <v:rect style="position:absolute;left:6121;top:-6750;width:4777;height:4126" id="docshape5" filled="true" fillcolor="#262424" stroked="false">
                  <v:fill type="solid"/>
                </v:rect>
                <v:shape style="position:absolute;left:6934;top:-5016;width:3142;height:505" id="docshape6" coordorigin="6935,-5016" coordsize="3142,505" path="m10076,-4520l6935,-4520,6935,-4511,10076,-4511,10076,-4520xm10076,-5016l6935,-5016,6935,-5008,10076,-5008,10076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36;top:-5971;width:3162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TIMOTHY J.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BERG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Appellate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98;top:-4244;width:638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26;top:-3992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602.916.5421</w:t>
                        </w:r>
                      </w:p>
                    </w:txbxContent>
                  </v:textbox>
                  <w10:wrap type="none"/>
                </v:shape>
                <v:shape style="position:absolute;left:8769;top:-3992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602.916.5621</w:t>
                        </w:r>
                      </w:p>
                    </w:txbxContent>
                  </v:textbox>
                  <w10:wrap type="none"/>
                </v:shape>
                <v:shape style="position:absolute;left:7439;top:-3667;width:2155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tberg@fennemorelaw.com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962;top:-1689;width:2335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Don't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fight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problem,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solve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it.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-George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Catlett</w:t>
                        </w:r>
                        <w:r>
                          <w:rPr>
                            <w:color w:val="FFFFFF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Marshall</w:t>
                        </w:r>
                      </w:p>
                    </w:txbxContent>
                  </v:textbox>
                  <w10:wrap type="none"/>
                </v:shape>
                <v:shape style="position:absolute;left:1539;top:-441;width:1973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TIMOTHY</w:t>
                        </w:r>
                        <w:r>
                          <w:rPr>
                            <w:b/>
                            <w:color w:val="002E6B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J.</w:t>
                        </w:r>
                        <w:r>
                          <w:rPr>
                            <w:b/>
                            <w:color w:val="002E6B"/>
                            <w:spacing w:val="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4"/>
                            <w:sz w:val="24"/>
                          </w:rPr>
                          <w:t>BERG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Formerly the managing partner of our firm, Tim Berg is a distinguished attorney in our business</w:t>
      </w:r>
      <w:r>
        <w:rPr>
          <w:color w:val="6E6158"/>
          <w:spacing w:val="40"/>
        </w:rPr>
        <w:t> </w:t>
      </w:r>
      <w:r>
        <w:rPr>
          <w:color w:val="6E6158"/>
        </w:rPr>
        <w:t>litigation practice group, focusing primarily in the areas of civil appeals, state constitutional and</w:t>
      </w:r>
      <w:r>
        <w:rPr>
          <w:color w:val="6E6158"/>
          <w:spacing w:val="40"/>
        </w:rPr>
        <w:t> </w:t>
      </w:r>
      <w:r>
        <w:rPr>
          <w:color w:val="6E6158"/>
        </w:rPr>
        <w:t>public</w:t>
      </w:r>
      <w:r>
        <w:rPr>
          <w:color w:val="6E6158"/>
          <w:spacing w:val="28"/>
        </w:rPr>
        <w:t> </w:t>
      </w:r>
      <w:r>
        <w:rPr>
          <w:color w:val="6E6158"/>
        </w:rPr>
        <w:t>law,</w:t>
      </w:r>
      <w:r>
        <w:rPr>
          <w:color w:val="6E6158"/>
          <w:spacing w:val="28"/>
        </w:rPr>
        <w:t> </w:t>
      </w:r>
      <w:r>
        <w:rPr>
          <w:color w:val="6E6158"/>
        </w:rPr>
        <w:t>public</w:t>
      </w:r>
      <w:r>
        <w:rPr>
          <w:color w:val="6E6158"/>
          <w:spacing w:val="28"/>
        </w:rPr>
        <w:t> </w:t>
      </w:r>
      <w:r>
        <w:rPr>
          <w:color w:val="6E6158"/>
        </w:rPr>
        <w:t>records</w:t>
      </w:r>
      <w:r>
        <w:rPr>
          <w:color w:val="6E6158"/>
          <w:spacing w:val="28"/>
        </w:rPr>
        <w:t> </w:t>
      </w:r>
      <w:r>
        <w:rPr>
          <w:color w:val="6E6158"/>
        </w:rPr>
        <w:t>law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public</w:t>
      </w:r>
      <w:r>
        <w:rPr>
          <w:color w:val="6E6158"/>
          <w:spacing w:val="28"/>
        </w:rPr>
        <w:t> </w:t>
      </w:r>
      <w:r>
        <w:rPr>
          <w:color w:val="6E6158"/>
        </w:rPr>
        <w:t>utilities</w:t>
      </w:r>
      <w:r>
        <w:rPr>
          <w:color w:val="6E6158"/>
          <w:spacing w:val="28"/>
        </w:rPr>
        <w:t> </w:t>
      </w:r>
      <w:r>
        <w:rPr>
          <w:color w:val="6E6158"/>
        </w:rPr>
        <w:t>regulation.</w:t>
      </w:r>
      <w:r>
        <w:rPr>
          <w:color w:val="6E6158"/>
          <w:spacing w:val="28"/>
        </w:rPr>
        <w:t> </w:t>
      </w:r>
      <w:r>
        <w:rPr>
          <w:color w:val="6E6158"/>
        </w:rPr>
        <w:t>Throughout</w:t>
      </w:r>
      <w:r>
        <w:rPr>
          <w:color w:val="6E6158"/>
          <w:spacing w:val="28"/>
        </w:rPr>
        <w:t> </w:t>
      </w:r>
      <w:r>
        <w:rPr>
          <w:color w:val="6E6158"/>
        </w:rPr>
        <w:t>his</w:t>
      </w:r>
      <w:r>
        <w:rPr>
          <w:color w:val="6E6158"/>
          <w:spacing w:val="28"/>
        </w:rPr>
        <w:t> </w:t>
      </w:r>
      <w:r>
        <w:rPr>
          <w:color w:val="6E6158"/>
        </w:rPr>
        <w:t>career</w:t>
      </w:r>
      <w:r>
        <w:rPr>
          <w:color w:val="6E6158"/>
          <w:spacing w:val="28"/>
        </w:rPr>
        <w:t> </w:t>
      </w:r>
      <w:r>
        <w:rPr>
          <w:color w:val="6E6158"/>
        </w:rPr>
        <w:t>as</w:t>
      </w:r>
      <w:r>
        <w:rPr>
          <w:color w:val="6E6158"/>
          <w:spacing w:val="28"/>
        </w:rPr>
        <w:t> </w:t>
      </w:r>
      <w:r>
        <w:rPr>
          <w:color w:val="6E6158"/>
        </w:rPr>
        <w:t>an appellate attorney, he has participated in the briefing or argument of more than 800 appeals</w:t>
      </w:r>
      <w:r>
        <w:rPr>
          <w:color w:val="6E6158"/>
          <w:spacing w:val="40"/>
        </w:rPr>
        <w:t> </w:t>
      </w:r>
      <w:r>
        <w:rPr>
          <w:color w:val="6E6158"/>
        </w:rPr>
        <w:t>before the United States Courts of Appeals for the Ninth Circuit, the Tenth Circuit, the Second</w:t>
      </w:r>
      <w:r>
        <w:rPr>
          <w:color w:val="6E6158"/>
          <w:spacing w:val="40"/>
        </w:rPr>
        <w:t> </w:t>
      </w:r>
      <w:r>
        <w:rPr>
          <w:color w:val="6E6158"/>
        </w:rPr>
        <w:t>Circuit, the Fourth Circuit, the Fifth Circuit, the Eleventh Circuit, the Federal Circuit, the Supreme</w:t>
      </w:r>
      <w:r>
        <w:rPr>
          <w:color w:val="6E6158"/>
          <w:spacing w:val="40"/>
        </w:rPr>
        <w:t> </w:t>
      </w:r>
      <w:r>
        <w:rPr>
          <w:color w:val="6E6158"/>
        </w:rPr>
        <w:t>Court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Arizona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both</w:t>
      </w:r>
      <w:r>
        <w:rPr>
          <w:color w:val="6E6158"/>
          <w:spacing w:val="16"/>
        </w:rPr>
        <w:t> </w:t>
      </w:r>
      <w:r>
        <w:rPr>
          <w:color w:val="6E6158"/>
        </w:rPr>
        <w:t>divisions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Arizona</w:t>
      </w:r>
      <w:r>
        <w:rPr>
          <w:color w:val="6E6158"/>
          <w:spacing w:val="16"/>
        </w:rPr>
        <w:t> </w:t>
      </w:r>
      <w:r>
        <w:rPr>
          <w:color w:val="6E6158"/>
        </w:rPr>
        <w:t>Court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Appeals.</w:t>
      </w:r>
      <w:r>
        <w:rPr>
          <w:color w:val="6E6158"/>
          <w:spacing w:val="16"/>
        </w:rPr>
        <w:t> </w:t>
      </w:r>
      <w:r>
        <w:rPr>
          <w:color w:val="6E6158"/>
        </w:rPr>
        <w:t>His</w:t>
      </w:r>
      <w:r>
        <w:rPr>
          <w:color w:val="6E6158"/>
          <w:spacing w:val="16"/>
        </w:rPr>
        <w:t> </w:t>
      </w:r>
      <w:r>
        <w:rPr>
          <w:color w:val="6E6158"/>
        </w:rPr>
        <w:t>appellate</w:t>
      </w:r>
      <w:r>
        <w:rPr>
          <w:color w:val="6E6158"/>
          <w:spacing w:val="16"/>
        </w:rPr>
        <w:t> </w:t>
      </w:r>
      <w:r>
        <w:rPr>
          <w:color w:val="6E6158"/>
        </w:rPr>
        <w:t>practice</w:t>
      </w:r>
      <w:r>
        <w:rPr>
          <w:color w:val="6E6158"/>
          <w:spacing w:val="16"/>
        </w:rPr>
        <w:t> </w:t>
      </w:r>
      <w:r>
        <w:rPr>
          <w:color w:val="6E6158"/>
        </w:rPr>
        <w:t>spans a broad field of substantive areas, including Arizona constitutional and public law, public records</w:t>
      </w:r>
      <w:r>
        <w:rPr>
          <w:color w:val="6E6158"/>
          <w:spacing w:val="40"/>
        </w:rPr>
        <w:t> </w:t>
      </w:r>
      <w:r>
        <w:rPr>
          <w:color w:val="6E6158"/>
        </w:rPr>
        <w:t>law, insurance coverage, medical malpractice, product liability, environmental, state and local</w:t>
      </w:r>
      <w:r>
        <w:rPr>
          <w:color w:val="6E6158"/>
          <w:spacing w:val="40"/>
        </w:rPr>
        <w:t> </w:t>
      </w:r>
      <w:r>
        <w:rPr>
          <w:color w:val="6E6158"/>
        </w:rPr>
        <w:t>taxation,</w:t>
      </w:r>
      <w:r>
        <w:rPr>
          <w:color w:val="6E6158"/>
          <w:spacing w:val="32"/>
        </w:rPr>
        <w:t> </w:t>
      </w:r>
      <w:r>
        <w:rPr>
          <w:color w:val="6E6158"/>
        </w:rPr>
        <w:t>business</w:t>
      </w:r>
      <w:r>
        <w:rPr>
          <w:color w:val="6E6158"/>
          <w:spacing w:val="32"/>
        </w:rPr>
        <w:t> </w:t>
      </w:r>
      <w:r>
        <w:rPr>
          <w:color w:val="6E6158"/>
        </w:rPr>
        <w:t>torts,</w:t>
      </w:r>
      <w:r>
        <w:rPr>
          <w:color w:val="6E6158"/>
          <w:spacing w:val="32"/>
        </w:rPr>
        <w:t> </w:t>
      </w:r>
      <w:r>
        <w:rPr>
          <w:color w:val="6E6158"/>
        </w:rPr>
        <w:t>real</w:t>
      </w:r>
      <w:r>
        <w:rPr>
          <w:color w:val="6E6158"/>
          <w:spacing w:val="32"/>
        </w:rPr>
        <w:t> </w:t>
      </w:r>
      <w:r>
        <w:rPr>
          <w:color w:val="6E6158"/>
        </w:rPr>
        <w:t>property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mineral</w:t>
      </w:r>
      <w:r>
        <w:rPr>
          <w:color w:val="6E6158"/>
          <w:spacing w:val="32"/>
        </w:rPr>
        <w:t> </w:t>
      </w:r>
      <w:r>
        <w:rPr>
          <w:color w:val="6E6158"/>
        </w:rPr>
        <w:t>rights,</w:t>
      </w:r>
      <w:r>
        <w:rPr>
          <w:color w:val="6E6158"/>
          <w:spacing w:val="32"/>
        </w:rPr>
        <w:t> </w:t>
      </w:r>
      <w:r>
        <w:rPr>
          <w:color w:val="6E6158"/>
        </w:rPr>
        <w:t>bankruptcy,</w:t>
      </w:r>
      <w:r>
        <w:rPr>
          <w:color w:val="6E6158"/>
          <w:spacing w:val="32"/>
        </w:rPr>
        <w:t> </w:t>
      </w:r>
      <w:r>
        <w:rPr>
          <w:color w:val="6E6158"/>
        </w:rPr>
        <w:t>public</w:t>
      </w:r>
      <w:r>
        <w:rPr>
          <w:color w:val="6E6158"/>
          <w:spacing w:val="32"/>
        </w:rPr>
        <w:t> </w:t>
      </w:r>
      <w:r>
        <w:rPr>
          <w:color w:val="6E6158"/>
        </w:rPr>
        <w:t>lands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public</w:t>
      </w:r>
    </w:p>
    <w:p>
      <w:pPr>
        <w:pStyle w:val="BodyText"/>
        <w:spacing w:line="292" w:lineRule="auto" w:before="7"/>
      </w:pPr>
      <w:r>
        <w:rPr>
          <w:color w:val="6E6158"/>
        </w:rPr>
        <w:t>utilities. He represents state and local governments and agencies, as well as companies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individuals in disputes with the government.</w:t>
      </w:r>
    </w:p>
    <w:p>
      <w:pPr>
        <w:pStyle w:val="BodyText"/>
        <w:spacing w:line="295" w:lineRule="auto" w:before="204"/>
        <w:ind w:right="202"/>
      </w:pPr>
      <w:r>
        <w:rPr>
          <w:color w:val="6E6158"/>
        </w:rPr>
        <w:t>As</w:t>
      </w:r>
      <w:r>
        <w:rPr>
          <w:color w:val="6E6158"/>
          <w:spacing w:val="15"/>
        </w:rPr>
        <w:t> </w:t>
      </w:r>
      <w:r>
        <w:rPr>
          <w:color w:val="6E6158"/>
        </w:rPr>
        <w:t>an</w:t>
      </w:r>
      <w:r>
        <w:rPr>
          <w:color w:val="6E6158"/>
          <w:spacing w:val="15"/>
        </w:rPr>
        <w:t> </w:t>
      </w:r>
      <w:r>
        <w:rPr>
          <w:color w:val="6E6158"/>
        </w:rPr>
        <w:t>appellate</w:t>
      </w:r>
      <w:r>
        <w:rPr>
          <w:color w:val="6E6158"/>
          <w:spacing w:val="15"/>
        </w:rPr>
        <w:t> </w:t>
      </w:r>
      <w:r>
        <w:rPr>
          <w:color w:val="6E6158"/>
        </w:rPr>
        <w:t>attorney,</w:t>
      </w:r>
      <w:r>
        <w:rPr>
          <w:color w:val="6E6158"/>
          <w:spacing w:val="15"/>
        </w:rPr>
        <w:t> </w:t>
      </w:r>
      <w:r>
        <w:rPr>
          <w:color w:val="6E6158"/>
        </w:rPr>
        <w:t>Tim</w:t>
      </w:r>
      <w:r>
        <w:rPr>
          <w:color w:val="6E6158"/>
          <w:spacing w:val="15"/>
        </w:rPr>
        <w:t> </w:t>
      </w:r>
      <w:r>
        <w:rPr>
          <w:color w:val="6E6158"/>
        </w:rPr>
        <w:t>enjoys</w:t>
      </w:r>
      <w:r>
        <w:rPr>
          <w:color w:val="6E6158"/>
          <w:spacing w:val="15"/>
        </w:rPr>
        <w:t> </w:t>
      </w:r>
      <w:r>
        <w:rPr>
          <w:color w:val="6E6158"/>
        </w:rPr>
        <w:t>working</w:t>
      </w:r>
      <w:r>
        <w:rPr>
          <w:color w:val="6E6158"/>
          <w:spacing w:val="15"/>
        </w:rPr>
        <w:t> </w:t>
      </w:r>
      <w:r>
        <w:rPr>
          <w:color w:val="6E6158"/>
        </w:rPr>
        <w:t>with</w:t>
      </w:r>
      <w:r>
        <w:rPr>
          <w:color w:val="6E6158"/>
          <w:spacing w:val="15"/>
        </w:rPr>
        <w:t> </w:t>
      </w:r>
      <w:r>
        <w:rPr>
          <w:color w:val="6E6158"/>
        </w:rPr>
        <w:t>his</w:t>
      </w:r>
      <w:r>
        <w:rPr>
          <w:color w:val="6E6158"/>
          <w:spacing w:val="15"/>
        </w:rPr>
        <w:t> </w:t>
      </w:r>
      <w:r>
        <w:rPr>
          <w:color w:val="6E6158"/>
        </w:rPr>
        <w:t>clients</w:t>
      </w:r>
      <w:r>
        <w:rPr>
          <w:color w:val="6E6158"/>
          <w:spacing w:val="15"/>
        </w:rPr>
        <w:t> </w:t>
      </w:r>
      <w:r>
        <w:rPr>
          <w:color w:val="6E6158"/>
        </w:rPr>
        <w:t>to</w:t>
      </w:r>
      <w:r>
        <w:rPr>
          <w:color w:val="6E6158"/>
          <w:spacing w:val="15"/>
        </w:rPr>
        <w:t> </w:t>
      </w:r>
      <w:r>
        <w:rPr>
          <w:color w:val="6E6158"/>
        </w:rPr>
        <w:t>solve</w:t>
      </w:r>
      <w:r>
        <w:rPr>
          <w:color w:val="6E6158"/>
          <w:spacing w:val="15"/>
        </w:rPr>
        <w:t> </w:t>
      </w:r>
      <w:r>
        <w:rPr>
          <w:color w:val="6E6158"/>
        </w:rPr>
        <w:t>their</w:t>
      </w:r>
      <w:r>
        <w:rPr>
          <w:color w:val="6E6158"/>
          <w:spacing w:val="15"/>
        </w:rPr>
        <w:t> </w:t>
      </w:r>
      <w:r>
        <w:rPr>
          <w:color w:val="6E6158"/>
        </w:rPr>
        <w:t>problems,</w:t>
      </w:r>
      <w:r>
        <w:rPr>
          <w:color w:val="6E6158"/>
          <w:spacing w:val="15"/>
        </w:rPr>
        <w:t> </w:t>
      </w:r>
      <w:r>
        <w:rPr>
          <w:color w:val="6E6158"/>
        </w:rPr>
        <w:t>working</w:t>
      </w:r>
      <w:r>
        <w:rPr>
          <w:color w:val="6E6158"/>
          <w:spacing w:val="15"/>
        </w:rPr>
        <w:t> </w:t>
      </w:r>
      <w:r>
        <w:rPr>
          <w:color w:val="6E6158"/>
        </w:rPr>
        <w:t>with a wide variety of people in different industries. He represents business and government clients in</w:t>
      </w:r>
      <w:r>
        <w:rPr>
          <w:color w:val="6E6158"/>
          <w:spacing w:val="40"/>
        </w:rPr>
        <w:t> </w:t>
      </w:r>
      <w:r>
        <w:rPr>
          <w:color w:val="6E6158"/>
        </w:rPr>
        <w:t>litigation arising under Arizona and other states’ public records law, and regularly assists clients in</w:t>
      </w:r>
      <w:r>
        <w:rPr>
          <w:color w:val="6E6158"/>
          <w:spacing w:val="40"/>
        </w:rPr>
        <w:t> </w:t>
      </w:r>
      <w:r>
        <w:rPr>
          <w:color w:val="6E6158"/>
        </w:rPr>
        <w:t>protecting their personal, proprietary or confidential information from improper disclosure as a</w:t>
      </w:r>
      <w:r>
        <w:rPr>
          <w:color w:val="6E6158"/>
          <w:spacing w:val="40"/>
        </w:rPr>
        <w:t> </w:t>
      </w:r>
      <w:r>
        <w:rPr>
          <w:color w:val="6E6158"/>
        </w:rPr>
        <w:t>result of public records requests. Tim also represents clients before the Arizona Legislature and</w:t>
      </w:r>
      <w:r>
        <w:rPr>
          <w:color w:val="6E6158"/>
          <w:spacing w:val="80"/>
        </w:rPr>
        <w:t> </w:t>
      </w:r>
      <w:r>
        <w:rPr>
          <w:color w:val="6E6158"/>
        </w:rPr>
        <w:t>state agencies. In his role as an Arizona Uniform Laws Commissioner, he serves on drafting committees</w:t>
      </w:r>
      <w:r>
        <w:rPr>
          <w:color w:val="6E6158"/>
          <w:spacing w:val="30"/>
        </w:rPr>
        <w:t> </w:t>
      </w:r>
      <w:r>
        <w:rPr>
          <w:color w:val="6E6158"/>
        </w:rPr>
        <w:t>for</w:t>
      </w:r>
      <w:r>
        <w:rPr>
          <w:color w:val="6E6158"/>
          <w:spacing w:val="30"/>
        </w:rPr>
        <w:t> </w:t>
      </w:r>
      <w:r>
        <w:rPr>
          <w:color w:val="6E6158"/>
        </w:rPr>
        <w:t>projects</w:t>
      </w:r>
      <w:r>
        <w:rPr>
          <w:color w:val="6E6158"/>
          <w:spacing w:val="30"/>
        </w:rPr>
        <w:t> </w:t>
      </w:r>
      <w:r>
        <w:rPr>
          <w:color w:val="6E6158"/>
        </w:rPr>
        <w:t>involving</w:t>
      </w:r>
      <w:r>
        <w:rPr>
          <w:color w:val="6E6158"/>
          <w:spacing w:val="30"/>
        </w:rPr>
        <w:t> </w:t>
      </w:r>
      <w:r>
        <w:rPr>
          <w:color w:val="6E6158"/>
        </w:rPr>
        <w:t>uniform</w:t>
      </w:r>
      <w:r>
        <w:rPr>
          <w:color w:val="6E6158"/>
          <w:spacing w:val="30"/>
        </w:rPr>
        <w:t> </w:t>
      </w:r>
      <w:r>
        <w:rPr>
          <w:color w:val="6E6158"/>
        </w:rPr>
        <w:t>state</w:t>
      </w:r>
      <w:r>
        <w:rPr>
          <w:color w:val="6E6158"/>
          <w:spacing w:val="30"/>
        </w:rPr>
        <w:t> </w:t>
      </w:r>
      <w:r>
        <w:rPr>
          <w:color w:val="6E6158"/>
        </w:rPr>
        <w:t>laws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model</w:t>
      </w:r>
      <w:r>
        <w:rPr>
          <w:color w:val="6E6158"/>
          <w:spacing w:val="30"/>
        </w:rPr>
        <w:t> </w:t>
      </w:r>
      <w:r>
        <w:rPr>
          <w:color w:val="6E6158"/>
        </w:rPr>
        <w:t>acts</w:t>
      </w:r>
      <w:r>
        <w:rPr>
          <w:color w:val="6E6158"/>
          <w:spacing w:val="30"/>
        </w:rPr>
        <w:t> </w:t>
      </w:r>
      <w:r>
        <w:rPr>
          <w:color w:val="6E6158"/>
        </w:rPr>
        <w:t>for</w:t>
      </w:r>
      <w:r>
        <w:rPr>
          <w:color w:val="6E6158"/>
          <w:spacing w:val="30"/>
        </w:rPr>
        <w:t> </w:t>
      </w:r>
      <w:r>
        <w:rPr>
          <w:color w:val="6E6158"/>
        </w:rPr>
        <w:t>adoption</w:t>
      </w:r>
      <w:r>
        <w:rPr>
          <w:color w:val="6E6158"/>
          <w:spacing w:val="30"/>
        </w:rPr>
        <w:t> </w:t>
      </w:r>
      <w:r>
        <w:rPr>
          <w:color w:val="6E6158"/>
        </w:rPr>
        <w:t>by</w:t>
      </w:r>
      <w:r>
        <w:rPr>
          <w:color w:val="6E6158"/>
          <w:spacing w:val="30"/>
        </w:rPr>
        <w:t> </w:t>
      </w:r>
      <w:r>
        <w:rPr>
          <w:color w:val="6E6158"/>
        </w:rPr>
        <w:t>Indian</w:t>
      </w:r>
    </w:p>
    <w:p>
      <w:pPr>
        <w:pStyle w:val="BodyText"/>
        <w:spacing w:line="292" w:lineRule="auto" w:before="5"/>
        <w:ind w:right="105"/>
      </w:pPr>
      <w:r>
        <w:rPr>
          <w:color w:val="6E6158"/>
        </w:rPr>
        <w:t>tribes. Tim clerked for Judge Richard H. Chambers, Chief Judge of the United States Court of</w:t>
      </w:r>
      <w:r>
        <w:rPr>
          <w:color w:val="6E6158"/>
          <w:spacing w:val="40"/>
        </w:rPr>
        <w:t> </w:t>
      </w:r>
      <w:r>
        <w:rPr>
          <w:color w:val="6E6158"/>
        </w:rPr>
        <w:t>Appeals for the Ninth Circuit.</w:t>
      </w:r>
    </w:p>
    <w:p>
      <w:pPr>
        <w:pStyle w:val="BodyText"/>
        <w:spacing w:line="292" w:lineRule="auto" w:before="196"/>
        <w:ind w:right="105"/>
      </w:pPr>
      <w:r>
        <w:rPr>
          <w:color w:val="6E6158"/>
        </w:rPr>
        <w:t>Tim serves as the firm’s general counsel. He served for 21 years on our Management Committee,</w:t>
      </w:r>
      <w:r>
        <w:rPr>
          <w:color w:val="6E6158"/>
          <w:spacing w:val="40"/>
        </w:rPr>
        <w:t> </w:t>
      </w:r>
      <w:r>
        <w:rPr>
          <w:color w:val="6E6158"/>
        </w:rPr>
        <w:t>including 10 years as chair of the committee.</w:t>
      </w:r>
    </w:p>
    <w:p>
      <w:pPr>
        <w:pStyle w:val="Heading2"/>
        <w:spacing w:before="171"/>
      </w:pPr>
      <w:r>
        <w:rPr>
          <w:color w:val="FF8100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0" w:lineRule="auto" w:before="83"/>
        <w:ind w:right="1502"/>
      </w:pPr>
      <w:r>
        <w:rPr>
          <w:color w:val="6E6158"/>
        </w:rPr>
        <w:t>J.D., University of Arizona, James E. Rogers College of Law, with highest </w:t>
      </w:r>
      <w:r>
        <w:rPr>
          <w:color w:val="6E6158"/>
        </w:rPr>
        <w:t>distinction</w:t>
      </w:r>
      <w:r>
        <w:rPr>
          <w:color w:val="6E6158"/>
        </w:rPr>
        <w:t> B.A., Arizona State University, with high distinction</w:t>
      </w:r>
    </w:p>
    <w:p>
      <w:pPr>
        <w:pStyle w:val="BodyText"/>
        <w:spacing w:before="7"/>
      </w:pPr>
      <w:r>
        <w:rPr>
          <w:color w:val="6E6158"/>
        </w:rPr>
        <w:t>Order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Coif</w:t>
      </w:r>
    </w:p>
    <w:p>
      <w:pPr>
        <w:spacing w:before="164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Associate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Editor,</w:t>
      </w:r>
      <w:r>
        <w:rPr>
          <w:color w:val="6E6158"/>
          <w:spacing w:val="-5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Review</w:t>
      </w:r>
    </w:p>
    <w:p>
      <w:pPr>
        <w:pStyle w:val="BodyText"/>
        <w:spacing w:before="160"/>
        <w:ind w:left="0"/>
        <w:rPr>
          <w:i/>
          <w:sz w:val="24"/>
        </w:rPr>
      </w:pPr>
    </w:p>
    <w:p>
      <w:pPr>
        <w:spacing w:before="1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1"/>
        <w:ind w:left="0"/>
        <w:rPr>
          <w:b/>
        </w:rPr>
      </w:pPr>
    </w:p>
    <w:p>
      <w:pPr>
        <w:pStyle w:val="BodyText"/>
      </w:pPr>
      <w:r>
        <w:rPr>
          <w:color w:val="6E6158"/>
        </w:rPr>
        <w:t>Indian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74"/>
      </w:pPr>
      <w:r>
        <w:rPr>
          <w:color w:val="6E6158"/>
        </w:rPr>
        <w:t>Public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Records</w:t>
      </w:r>
    </w:p>
    <w:p>
      <w:pPr>
        <w:pStyle w:val="BodyText"/>
        <w:spacing w:before="63"/>
        <w:ind w:left="0"/>
      </w:pPr>
    </w:p>
    <w:p>
      <w:pPr>
        <w:pStyle w:val="BodyText"/>
        <w:spacing w:line="422" w:lineRule="auto"/>
        <w:ind w:right="7001"/>
      </w:pPr>
      <w:r>
        <w:rPr>
          <w:color w:val="6E6158"/>
        </w:rPr>
        <w:t>Appellate </w:t>
      </w:r>
      <w:r>
        <w:rPr>
          <w:color w:val="6E6158"/>
        </w:rPr>
        <w:t>Litigation Business Litigation Natural Resources</w:t>
      </w:r>
    </w:p>
    <w:p>
      <w:pPr>
        <w:pStyle w:val="BodyText"/>
        <w:spacing w:line="420" w:lineRule="auto"/>
        <w:ind w:right="5201"/>
      </w:pPr>
      <w:r>
        <w:rPr>
          <w:color w:val="6E6158"/>
        </w:rPr>
        <w:t>Government Relations &amp; </w:t>
      </w:r>
      <w:r>
        <w:rPr>
          <w:color w:val="6E6158"/>
        </w:rPr>
        <w:t>Regulatory </w:t>
      </w:r>
      <w:r>
        <w:rPr>
          <w:color w:val="6E6158"/>
          <w:spacing w:val="-2"/>
        </w:rPr>
        <w:t>Education</w:t>
      </w:r>
    </w:p>
    <w:p>
      <w:pPr>
        <w:pStyle w:val="Heading2"/>
        <w:spacing w:before="289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17"/>
        <w:ind w:left="0"/>
        <w:rPr>
          <w:b/>
        </w:rPr>
      </w:pPr>
    </w:p>
    <w:p>
      <w:pPr>
        <w:pStyle w:val="BodyText"/>
        <w:spacing w:line="290" w:lineRule="auto"/>
        <w:ind w:right="132"/>
      </w:pPr>
      <w:hyperlink r:id="rId11">
        <w:r>
          <w:rPr>
            <w:color w:val="F5821F"/>
          </w:rPr>
          <w:t>Served as legal counsel to the City of Chandler in</w:t>
        </w:r>
      </w:hyperlink>
      <w:r>
        <w:rPr>
          <w:color w:val="F5821F"/>
        </w:rPr>
        <w:t> </w:t>
      </w:r>
      <w:hyperlink r:id="rId11">
        <w:r>
          <w:rPr>
            <w:i/>
            <w:color w:val="F5821F"/>
            <w:sz w:val="20"/>
          </w:rPr>
          <w:t>City of Chandler v. Roosevelt Water</w:t>
        </w:r>
      </w:hyperlink>
      <w:r>
        <w:rPr>
          <w:i/>
          <w:color w:val="F5821F"/>
          <w:sz w:val="20"/>
        </w:rPr>
        <w:t> </w:t>
      </w:r>
      <w:hyperlink r:id="rId11">
        <w:r>
          <w:rPr>
            <w:i/>
            <w:color w:val="F5821F"/>
            <w:sz w:val="20"/>
          </w:rPr>
          <w:t>Conservation District</w:t>
        </w:r>
      </w:hyperlink>
      <w:hyperlink r:id="rId11">
        <w:r>
          <w:rPr>
            <w:color w:val="F5821F"/>
          </w:rPr>
          <w:t>, No. CV-24-0267-PR, 2026 WL 1141802 (Ariz. Apr. 28, 2026), where the Arizona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Supreme Court declared that the one-year statute of limitations in A.R.S. § 12-821 does not apply</w:t>
        </w:r>
      </w:hyperlink>
      <w:r>
        <w:rPr>
          <w:color w:val="F5821F"/>
          <w:spacing w:val="80"/>
        </w:rPr>
        <w:t> </w:t>
      </w:r>
      <w:hyperlink r:id="rId11">
        <w:r>
          <w:rPr>
            <w:color w:val="F5821F"/>
          </w:rPr>
          <w:t>to claims by a government-entity plaintiff against another government entity, helping secure a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ruling that preserves flexibility for public entities to resolve disputes without the pressure of a strict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one-year deadline.</w:t>
        </w:r>
      </w:hyperlink>
    </w:p>
    <w:p>
      <w:pPr>
        <w:pStyle w:val="BodyText"/>
        <w:spacing w:line="302" w:lineRule="auto" w:before="128"/>
        <w:ind w:right="105"/>
      </w:pPr>
      <w:r>
        <w:rPr>
          <w:color w:val="6E6158"/>
        </w:rPr>
        <w:t>Successfully</w:t>
      </w:r>
      <w:r>
        <w:rPr>
          <w:color w:val="6E6158"/>
          <w:spacing w:val="80"/>
        </w:rPr>
        <w:t> </w:t>
      </w:r>
      <w:r>
        <w:rPr>
          <w:color w:val="6E6158"/>
        </w:rPr>
        <w:t>defended Proposition 123 providing for</w:t>
      </w:r>
      <w:r>
        <w:rPr>
          <w:color w:val="6E6158"/>
          <w:spacing w:val="80"/>
        </w:rPr>
        <w:t> </w:t>
      </w:r>
      <w:r>
        <w:rPr>
          <w:color w:val="6E6158"/>
        </w:rPr>
        <w:t>distributions to schools of monies from </w:t>
      </w:r>
      <w:r>
        <w:rPr>
          <w:color w:val="6E6158"/>
        </w:rPr>
        <w:t>the State</w:t>
      </w:r>
      <w:r>
        <w:rPr>
          <w:color w:val="6E6158"/>
          <w:spacing w:val="27"/>
        </w:rPr>
        <w:t> </w:t>
      </w:r>
      <w:r>
        <w:rPr>
          <w:color w:val="6E6158"/>
        </w:rPr>
        <w:t>Land</w:t>
      </w:r>
      <w:r>
        <w:rPr>
          <w:color w:val="6E6158"/>
          <w:spacing w:val="27"/>
        </w:rPr>
        <w:t> </w:t>
      </w:r>
      <w:r>
        <w:rPr>
          <w:color w:val="6E6158"/>
        </w:rPr>
        <w:t>Trust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both</w:t>
      </w:r>
      <w:r>
        <w:rPr>
          <w:color w:val="6E6158"/>
          <w:spacing w:val="27"/>
        </w:rPr>
        <w:t> </w:t>
      </w:r>
      <w:r>
        <w:rPr>
          <w:color w:val="6E6158"/>
        </w:rPr>
        <w:t>state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federal</w:t>
      </w:r>
      <w:r>
        <w:rPr>
          <w:color w:val="6E6158"/>
          <w:spacing w:val="27"/>
        </w:rPr>
        <w:t> </w:t>
      </w:r>
      <w:r>
        <w:rPr>
          <w:color w:val="6E6158"/>
        </w:rPr>
        <w:t>court</w:t>
      </w:r>
      <w:r>
        <w:rPr>
          <w:color w:val="6E6158"/>
          <w:spacing w:val="27"/>
        </w:rPr>
        <w:t> </w:t>
      </w:r>
      <w:r>
        <w:rPr>
          <w:color w:val="6E6158"/>
        </w:rPr>
        <w:t>against</w:t>
      </w:r>
      <w:r>
        <w:rPr>
          <w:color w:val="6E6158"/>
          <w:spacing w:val="27"/>
        </w:rPr>
        <w:t> </w:t>
      </w:r>
      <w:r>
        <w:rPr>
          <w:color w:val="6E6158"/>
        </w:rPr>
        <w:t>challenges</w:t>
      </w:r>
      <w:r>
        <w:rPr>
          <w:color w:val="6E6158"/>
          <w:spacing w:val="27"/>
        </w:rPr>
        <w:t> </w:t>
      </w:r>
      <w:r>
        <w:rPr>
          <w:color w:val="6E6158"/>
        </w:rPr>
        <w:t>under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Enabling</w:t>
      </w:r>
      <w:r>
        <w:rPr>
          <w:color w:val="6E6158"/>
          <w:spacing w:val="27"/>
        </w:rPr>
        <w:t> </w:t>
      </w:r>
      <w:r>
        <w:rPr>
          <w:color w:val="6E6158"/>
        </w:rPr>
        <w:t>Act.</w:t>
      </w:r>
    </w:p>
    <w:p>
      <w:pPr>
        <w:pStyle w:val="BodyText"/>
        <w:spacing w:line="292" w:lineRule="auto"/>
        <w:ind w:right="319"/>
      </w:pPr>
      <w:r>
        <w:rPr>
          <w:color w:val="6E6158"/>
        </w:rPr>
        <w:t>Pierce v. Ducey, No. 1CA-CV 22-0007 (Arizona Court of Appeals October 25, 2022); Pierce v.</w:t>
      </w:r>
      <w:r>
        <w:rPr>
          <w:color w:val="6E6158"/>
          <w:spacing w:val="40"/>
        </w:rPr>
        <w:t> </w:t>
      </w:r>
      <w:r>
        <w:rPr>
          <w:color w:val="6E6158"/>
        </w:rPr>
        <w:t>Ducey, 965 F.3d 1085 (9th Cir. 2020).</w:t>
      </w:r>
    </w:p>
    <w:p>
      <w:pPr>
        <w:pStyle w:val="BodyText"/>
        <w:spacing w:line="302" w:lineRule="auto" w:before="114"/>
        <w:ind w:right="105"/>
      </w:pPr>
      <w:r>
        <w:rPr>
          <w:color w:val="6E6158"/>
        </w:rPr>
        <w:t>Successfully represented Governor Ducey in a challenge to his order with respect to Covid era</w:t>
      </w:r>
      <w:r>
        <w:rPr>
          <w:color w:val="6E6158"/>
          <w:spacing w:val="40"/>
        </w:rPr>
        <w:t> </w:t>
      </w:r>
      <w:r>
        <w:rPr>
          <w:color w:val="6E6158"/>
        </w:rPr>
        <w:t>unemployment benefits.</w:t>
      </w:r>
      <w:r>
        <w:rPr>
          <w:color w:val="6E6158"/>
          <w:spacing w:val="80"/>
        </w:rPr>
        <w:t> </w:t>
      </w:r>
      <w:r>
        <w:rPr>
          <w:color w:val="6E6158"/>
        </w:rPr>
        <w:t>Unemployed Workers v. Ducey, 254 Ariz. 95 (App. 2022)</w:t>
      </w:r>
    </w:p>
    <w:p>
      <w:pPr>
        <w:pStyle w:val="BodyText"/>
        <w:spacing w:line="292" w:lineRule="auto" w:before="113"/>
        <w:ind w:right="319"/>
      </w:pPr>
      <w:r>
        <w:rPr>
          <w:color w:val="6E6158"/>
        </w:rPr>
        <w:t>On behalf of the Arizona Tourism and Sports Authority, successfully defended the </w:t>
      </w:r>
      <w:r>
        <w:rPr>
          <w:color w:val="6E6158"/>
        </w:rPr>
        <w:t>constitutionality</w:t>
      </w:r>
      <w:r>
        <w:rPr>
          <w:color w:val="6E6158"/>
          <w:spacing w:val="80"/>
        </w:rPr>
        <w:t> </w:t>
      </w:r>
      <w:r>
        <w:rPr>
          <w:color w:val="6E6158"/>
        </w:rPr>
        <w:t>of a tax on the business of leasing vehicles against challenges under the Dormant Commerce</w:t>
      </w:r>
      <w:r>
        <w:rPr>
          <w:color w:val="6E6158"/>
          <w:spacing w:val="40"/>
        </w:rPr>
        <w:t> </w:t>
      </w:r>
      <w:r>
        <w:rPr>
          <w:color w:val="6E6158"/>
        </w:rPr>
        <w:t>Clause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United</w:t>
      </w:r>
      <w:r>
        <w:rPr>
          <w:color w:val="6E6158"/>
          <w:spacing w:val="31"/>
        </w:rPr>
        <w:t> </w:t>
      </w:r>
      <w:r>
        <w:rPr>
          <w:color w:val="6E6158"/>
        </w:rPr>
        <w:t>States</w:t>
      </w:r>
      <w:r>
        <w:rPr>
          <w:color w:val="6E6158"/>
          <w:spacing w:val="31"/>
        </w:rPr>
        <w:t> </w:t>
      </w:r>
      <w:r>
        <w:rPr>
          <w:color w:val="6E6158"/>
        </w:rPr>
        <w:t>Constitution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Anti-Diversion</w:t>
      </w:r>
      <w:r>
        <w:rPr>
          <w:color w:val="6E6158"/>
          <w:spacing w:val="31"/>
        </w:rPr>
        <w:t> </w:t>
      </w:r>
      <w:r>
        <w:rPr>
          <w:color w:val="6E6158"/>
        </w:rPr>
        <w:t>provision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Arizona</w:t>
      </w:r>
    </w:p>
    <w:p>
      <w:pPr>
        <w:spacing w:line="408" w:lineRule="auto" w:before="0"/>
        <w:ind w:left="99" w:right="1847" w:firstLine="0"/>
        <w:jc w:val="left"/>
        <w:rPr>
          <w:sz w:val="19"/>
        </w:rPr>
      </w:pPr>
      <w:r>
        <w:rPr>
          <w:color w:val="6E6158"/>
          <w:sz w:val="19"/>
        </w:rPr>
        <w:t>Constitution.</w:t>
      </w:r>
      <w:r>
        <w:rPr>
          <w:color w:val="6E6158"/>
          <w:spacing w:val="-11"/>
          <w:sz w:val="19"/>
        </w:rPr>
        <w:t> </w:t>
      </w:r>
      <w:r>
        <w:rPr>
          <w:i/>
          <w:color w:val="6E6158"/>
          <w:sz w:val="20"/>
        </w:rPr>
        <w:t>Saban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Rent-A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Car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LLC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Department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Revenue,</w:t>
      </w:r>
      <w:r>
        <w:rPr>
          <w:i/>
          <w:color w:val="6E6158"/>
          <w:spacing w:val="-14"/>
          <w:sz w:val="20"/>
        </w:rPr>
        <w:t> </w:t>
      </w:r>
      <w:r>
        <w:rPr>
          <w:color w:val="6E6158"/>
          <w:sz w:val="19"/>
        </w:rPr>
        <w:t>246 Ariz. 89 (2019)</w:t>
      </w:r>
    </w:p>
    <w:p>
      <w:pPr>
        <w:pStyle w:val="BodyText"/>
        <w:spacing w:line="292" w:lineRule="auto" w:before="11"/>
        <w:ind w:right="105"/>
      </w:pPr>
      <w:r>
        <w:rPr>
          <w:color w:val="6E6158"/>
        </w:rPr>
        <w:t>Represented the Arizona Health Care Cost Containment System in the successful defense in the</w:t>
      </w:r>
      <w:r>
        <w:rPr>
          <w:color w:val="6E6158"/>
          <w:spacing w:val="40"/>
        </w:rPr>
        <w:t> </w:t>
      </w:r>
      <w:r>
        <w:rPr>
          <w:color w:val="6E6158"/>
        </w:rPr>
        <w:t>Arizona Supreme Court of an assessment authorized by the Arizona Legislature to fund </w:t>
      </w:r>
      <w:r>
        <w:rPr>
          <w:color w:val="6E6158"/>
        </w:rPr>
        <w:t>Medicaid</w:t>
      </w:r>
      <w:r>
        <w:rPr>
          <w:color w:val="6E6158"/>
          <w:spacing w:val="40"/>
        </w:rPr>
        <w:t> </w:t>
      </w:r>
      <w:r>
        <w:rPr>
          <w:color w:val="6E6158"/>
        </w:rPr>
        <w:t>restoration against a challenge that the assessment violated the supermajority requirement of</w:t>
      </w:r>
      <w:r>
        <w:rPr>
          <w:color w:val="6E6158"/>
          <w:spacing w:val="40"/>
        </w:rPr>
        <w:t> </w:t>
      </w:r>
      <w:r>
        <w:rPr>
          <w:color w:val="6E6158"/>
        </w:rPr>
        <w:t>Article 9, section 22 of the Arizona Constitution. </w:t>
      </w:r>
      <w:r>
        <w:rPr>
          <w:i/>
          <w:color w:val="6E6158"/>
          <w:sz w:val="20"/>
        </w:rPr>
        <w:t>Biggs v. Betlach, </w:t>
      </w:r>
      <w:r>
        <w:rPr>
          <w:color w:val="6E6158"/>
        </w:rPr>
        <w:t>404 P.3d 1243 (2017)</w:t>
      </w:r>
    </w:p>
    <w:p>
      <w:pPr>
        <w:pStyle w:val="BodyText"/>
        <w:spacing w:line="302" w:lineRule="auto" w:before="118"/>
        <w:ind w:right="105"/>
      </w:pPr>
      <w:r>
        <w:rPr>
          <w:color w:val="6E6158"/>
        </w:rPr>
        <w:t>Represented the City of Phoenix in a lawsuit brought by various taxpayers challenging the</w:t>
      </w:r>
      <w:r>
        <w:rPr>
          <w:color w:val="6E6158"/>
          <w:spacing w:val="40"/>
        </w:rPr>
        <w:t> </w:t>
      </w:r>
      <w:r>
        <w:rPr>
          <w:color w:val="6E6158"/>
        </w:rPr>
        <w:t>constitutionality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$100</w:t>
      </w:r>
      <w:r>
        <w:rPr>
          <w:color w:val="6E6158"/>
          <w:spacing w:val="14"/>
        </w:rPr>
        <w:t> </w:t>
      </w:r>
      <w:r>
        <w:rPr>
          <w:color w:val="6E6158"/>
        </w:rPr>
        <w:t>million</w:t>
      </w:r>
      <w:r>
        <w:rPr>
          <w:color w:val="6E6158"/>
          <w:spacing w:val="14"/>
        </w:rPr>
        <w:t> </w:t>
      </w:r>
      <w:r>
        <w:rPr>
          <w:color w:val="6E6158"/>
        </w:rPr>
        <w:t>retail</w:t>
      </w:r>
      <w:r>
        <w:rPr>
          <w:color w:val="6E6158"/>
          <w:spacing w:val="14"/>
        </w:rPr>
        <w:t> </w:t>
      </w:r>
      <w:r>
        <w:rPr>
          <w:color w:val="6E6158"/>
        </w:rPr>
        <w:t>sales</w:t>
      </w:r>
      <w:r>
        <w:rPr>
          <w:color w:val="6E6158"/>
          <w:spacing w:val="14"/>
        </w:rPr>
        <w:t> </w:t>
      </w:r>
      <w:r>
        <w:rPr>
          <w:color w:val="6E6158"/>
        </w:rPr>
        <w:t>tax</w:t>
      </w:r>
      <w:r>
        <w:rPr>
          <w:color w:val="6E6158"/>
          <w:spacing w:val="14"/>
        </w:rPr>
        <w:t> </w:t>
      </w:r>
      <w:r>
        <w:rPr>
          <w:color w:val="6E6158"/>
        </w:rPr>
        <w:t>incentive</w:t>
      </w:r>
      <w:r>
        <w:rPr>
          <w:color w:val="6E6158"/>
          <w:spacing w:val="14"/>
        </w:rPr>
        <w:t> </w:t>
      </w:r>
      <w:r>
        <w:rPr>
          <w:color w:val="6E6158"/>
        </w:rPr>
        <w:t>agreement</w:t>
      </w:r>
      <w:r>
        <w:rPr>
          <w:color w:val="6E6158"/>
          <w:spacing w:val="14"/>
        </w:rPr>
        <w:t> </w:t>
      </w:r>
      <w:r>
        <w:rPr>
          <w:color w:val="6E6158"/>
        </w:rPr>
        <w:t>between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City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19"/>
      </w:pPr>
      <w:r>
        <w:rPr>
          <w:color w:val="6E6158"/>
        </w:rPr>
        <w:t>developer NPP CityNorth, LLC. The taxpayers alleged that the subject agreement violated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Gift,</w:t>
      </w:r>
      <w:r>
        <w:rPr>
          <w:color w:val="6E6158"/>
          <w:spacing w:val="31"/>
        </w:rPr>
        <w:t> </w:t>
      </w:r>
      <w:r>
        <w:rPr>
          <w:color w:val="6E6158"/>
        </w:rPr>
        <w:t>Special</w:t>
      </w:r>
      <w:r>
        <w:rPr>
          <w:color w:val="6E6158"/>
          <w:spacing w:val="31"/>
        </w:rPr>
        <w:t> </w:t>
      </w:r>
      <w:r>
        <w:rPr>
          <w:color w:val="6E6158"/>
        </w:rPr>
        <w:t>Law,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Privileges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Immunities</w:t>
      </w:r>
      <w:r>
        <w:rPr>
          <w:color w:val="6E6158"/>
          <w:spacing w:val="31"/>
        </w:rPr>
        <w:t> </w:t>
      </w:r>
      <w:r>
        <w:rPr>
          <w:color w:val="6E6158"/>
        </w:rPr>
        <w:t>clauses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Arizona</w:t>
      </w:r>
      <w:r>
        <w:rPr>
          <w:color w:val="6E6158"/>
          <w:spacing w:val="31"/>
        </w:rPr>
        <w:t> </w:t>
      </w:r>
      <w:r>
        <w:rPr>
          <w:color w:val="6E6158"/>
        </w:rPr>
        <w:t>Constitution</w:t>
      </w:r>
      <w:r>
        <w:rPr>
          <w:color w:val="6E6158"/>
          <w:spacing w:val="31"/>
        </w:rPr>
        <w:t> </w:t>
      </w:r>
      <w:r>
        <w:rPr>
          <w:color w:val="6E6158"/>
        </w:rPr>
        <w:t>(“Gift</w:t>
      </w:r>
    </w:p>
    <w:p>
      <w:pPr>
        <w:pStyle w:val="BodyText"/>
        <w:spacing w:line="292" w:lineRule="auto" w:before="132"/>
        <w:ind w:right="132"/>
      </w:pPr>
      <w:r>
        <w:rPr>
          <w:color w:val="6E6158"/>
        </w:rPr>
        <w:t>Clause”). The trial court rejected each of the taxpayers’ claims, and the Court of Appeals of</w:t>
      </w:r>
      <w:r>
        <w:rPr>
          <w:color w:val="6E6158"/>
          <w:spacing w:val="40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reversed,</w:t>
      </w:r>
      <w:r>
        <w:rPr>
          <w:color w:val="6E6158"/>
          <w:spacing w:val="13"/>
        </w:rPr>
        <w:t> </w:t>
      </w:r>
      <w:r>
        <w:rPr>
          <w:color w:val="6E6158"/>
        </w:rPr>
        <w:t>holding</w:t>
      </w:r>
      <w:r>
        <w:rPr>
          <w:color w:val="6E6158"/>
          <w:spacing w:val="12"/>
        </w:rPr>
        <w:t> </w:t>
      </w:r>
      <w:r>
        <w:rPr>
          <w:color w:val="6E6158"/>
        </w:rPr>
        <w:t>that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agreement</w:t>
      </w:r>
      <w:r>
        <w:rPr>
          <w:color w:val="6E6158"/>
          <w:spacing w:val="13"/>
        </w:rPr>
        <w:t> </w:t>
      </w:r>
      <w:r>
        <w:rPr>
          <w:color w:val="6E6158"/>
        </w:rPr>
        <w:t>violated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Gift</w:t>
      </w:r>
      <w:r>
        <w:rPr>
          <w:color w:val="6E6158"/>
          <w:spacing w:val="12"/>
        </w:rPr>
        <w:t> </w:t>
      </w:r>
      <w:r>
        <w:rPr>
          <w:color w:val="6E6158"/>
        </w:rPr>
        <w:t>Clause.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Supreme</w:t>
      </w:r>
    </w:p>
    <w:p>
      <w:pPr>
        <w:pStyle w:val="BodyText"/>
        <w:spacing w:line="297" w:lineRule="auto" w:before="1"/>
        <w:ind w:right="179"/>
      </w:pPr>
      <w:r>
        <w:rPr>
          <w:color w:val="6E6158"/>
        </w:rPr>
        <w:t>Court granted review. After hearing the case, it issued a decision early in 2010 that allowed the</w:t>
      </w:r>
      <w:r>
        <w:rPr>
          <w:color w:val="6E6158"/>
          <w:spacing w:val="40"/>
        </w:rPr>
        <w:t> </w:t>
      </w:r>
      <w:r>
        <w:rPr>
          <w:color w:val="6E6158"/>
        </w:rPr>
        <w:t>City of Phoenix sales tax incentive agreement between the City and the developer to stand and</w:t>
      </w:r>
      <w:r>
        <w:rPr>
          <w:color w:val="6E6158"/>
          <w:spacing w:val="40"/>
        </w:rPr>
        <w:t> </w:t>
      </w:r>
      <w:r>
        <w:rPr>
          <w:color w:val="6E6158"/>
        </w:rPr>
        <w:t>vacated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Court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Appeals</w:t>
      </w:r>
      <w:r>
        <w:rPr>
          <w:color w:val="6E6158"/>
          <w:spacing w:val="30"/>
        </w:rPr>
        <w:t> </w:t>
      </w:r>
      <w:r>
        <w:rPr>
          <w:color w:val="6E6158"/>
        </w:rPr>
        <w:t>decision</w:t>
      </w:r>
      <w:r>
        <w:rPr>
          <w:color w:val="6E6158"/>
          <w:spacing w:val="30"/>
        </w:rPr>
        <w:t> </w:t>
      </w:r>
      <w:r>
        <w:rPr>
          <w:color w:val="6E6158"/>
        </w:rPr>
        <w:t>on</w:t>
      </w:r>
      <w:r>
        <w:rPr>
          <w:color w:val="6E6158"/>
          <w:spacing w:val="30"/>
        </w:rPr>
        <w:t> </w:t>
      </w:r>
      <w:r>
        <w:rPr>
          <w:color w:val="6E6158"/>
        </w:rPr>
        <w:t>Gift</w:t>
      </w:r>
      <w:r>
        <w:rPr>
          <w:color w:val="6E6158"/>
          <w:spacing w:val="30"/>
        </w:rPr>
        <w:t> </w:t>
      </w:r>
      <w:r>
        <w:rPr>
          <w:color w:val="6E6158"/>
        </w:rPr>
        <w:t>Clause</w:t>
      </w:r>
      <w:r>
        <w:rPr>
          <w:color w:val="6E6158"/>
          <w:spacing w:val="30"/>
        </w:rPr>
        <w:t> </w:t>
      </w:r>
      <w:r>
        <w:rPr>
          <w:color w:val="6E6158"/>
        </w:rPr>
        <w:t>compliance</w:t>
      </w:r>
      <w:r>
        <w:rPr>
          <w:color w:val="6E6158"/>
          <w:spacing w:val="30"/>
        </w:rPr>
        <w:t> </w:t>
      </w:r>
      <w:r>
        <w:rPr>
          <w:color w:val="6E6158"/>
        </w:rPr>
        <w:t>because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existing</w:t>
      </w:r>
      <w:r>
        <w:rPr>
          <w:color w:val="6E6158"/>
          <w:spacing w:val="30"/>
        </w:rPr>
        <w:t> </w:t>
      </w:r>
      <w:r>
        <w:rPr>
          <w:color w:val="6E6158"/>
        </w:rPr>
        <w:t>legal</w:t>
      </w:r>
    </w:p>
    <w:p>
      <w:pPr>
        <w:pStyle w:val="BodyText"/>
        <w:spacing w:line="229" w:lineRule="exact"/>
      </w:pPr>
      <w:r>
        <w:rPr>
          <w:color w:val="6E6158"/>
        </w:rPr>
        <w:t>framework</w:t>
      </w:r>
      <w:r>
        <w:rPr>
          <w:color w:val="6E6158"/>
          <w:spacing w:val="9"/>
        </w:rPr>
        <w:t> </w:t>
      </w:r>
      <w:r>
        <w:rPr>
          <w:color w:val="6E6158"/>
        </w:rPr>
        <w:t>was</w:t>
      </w:r>
      <w:r>
        <w:rPr>
          <w:color w:val="6E6158"/>
          <w:spacing w:val="9"/>
        </w:rPr>
        <w:t> </w:t>
      </w:r>
      <w:r>
        <w:rPr>
          <w:color w:val="6E6158"/>
        </w:rPr>
        <w:t>unclear.</w:t>
      </w:r>
      <w:r>
        <w:rPr>
          <w:color w:val="6E6158"/>
          <w:spacing w:val="10"/>
        </w:rPr>
        <w:t> </w:t>
      </w:r>
      <w:r>
        <w:rPr>
          <w:color w:val="6E6158"/>
        </w:rPr>
        <w:t>It</w:t>
      </w:r>
      <w:r>
        <w:rPr>
          <w:color w:val="6E6158"/>
          <w:spacing w:val="9"/>
        </w:rPr>
        <w:t> </w:t>
      </w:r>
      <w:r>
        <w:rPr>
          <w:color w:val="6E6158"/>
        </w:rPr>
        <w:t>adopted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9"/>
        </w:rPr>
        <w:t> </w:t>
      </w:r>
      <w:r>
        <w:rPr>
          <w:color w:val="6E6158"/>
        </w:rPr>
        <w:t>clear</w:t>
      </w:r>
      <w:r>
        <w:rPr>
          <w:color w:val="6E6158"/>
          <w:spacing w:val="9"/>
        </w:rPr>
        <w:t> </w:t>
      </w:r>
      <w:r>
        <w:rPr>
          <w:color w:val="6E6158"/>
        </w:rPr>
        <w:t>view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public</w:t>
      </w:r>
      <w:r>
        <w:rPr>
          <w:color w:val="6E6158"/>
          <w:spacing w:val="10"/>
        </w:rPr>
        <w:t> </w:t>
      </w:r>
      <w:r>
        <w:rPr>
          <w:color w:val="6E6158"/>
        </w:rPr>
        <w:t>purpose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set</w:t>
      </w:r>
      <w:r>
        <w:rPr>
          <w:color w:val="6E6158"/>
          <w:spacing w:val="10"/>
        </w:rPr>
        <w:t> </w:t>
      </w:r>
      <w:r>
        <w:rPr>
          <w:color w:val="6E6158"/>
          <w:spacing w:val="-10"/>
        </w:rPr>
        <w:t>a</w:t>
      </w:r>
    </w:p>
    <w:p>
      <w:pPr>
        <w:pStyle w:val="BodyText"/>
        <w:spacing w:before="174"/>
      </w:pPr>
      <w:r>
        <w:rPr>
          <w:color w:val="6E6158"/>
        </w:rPr>
        <w:t>framework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courts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decide</w:t>
      </w:r>
      <w:r>
        <w:rPr>
          <w:color w:val="6E6158"/>
          <w:spacing w:val="11"/>
        </w:rPr>
        <w:t> </w:t>
      </w:r>
      <w:r>
        <w:rPr>
          <w:color w:val="6E6158"/>
        </w:rPr>
        <w:t>whether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transaction</w:t>
      </w:r>
      <w:r>
        <w:rPr>
          <w:color w:val="6E6158"/>
          <w:spacing w:val="11"/>
        </w:rPr>
        <w:t> </w:t>
      </w:r>
      <w:r>
        <w:rPr>
          <w:color w:val="6E6158"/>
        </w:rPr>
        <w:t>will</w:t>
      </w:r>
      <w:r>
        <w:rPr>
          <w:color w:val="6E6158"/>
          <w:spacing w:val="10"/>
        </w:rPr>
        <w:t> </w:t>
      </w:r>
      <w:r>
        <w:rPr>
          <w:color w:val="6E6158"/>
        </w:rPr>
        <w:t>pass</w:t>
      </w:r>
      <w:r>
        <w:rPr>
          <w:color w:val="6E6158"/>
          <w:spacing w:val="11"/>
        </w:rPr>
        <w:t> </w:t>
      </w:r>
      <w:r>
        <w:rPr>
          <w:color w:val="6E6158"/>
        </w:rPr>
        <w:t>muster</w:t>
      </w:r>
      <w:r>
        <w:rPr>
          <w:color w:val="6E6158"/>
          <w:spacing w:val="11"/>
        </w:rPr>
        <w:t> </w:t>
      </w:r>
      <w:r>
        <w:rPr>
          <w:color w:val="6E6158"/>
        </w:rPr>
        <w:t>under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Gift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Clause.</w:t>
      </w:r>
    </w:p>
    <w:p>
      <w:pPr>
        <w:spacing w:before="4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Turken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Gordon</w:t>
      </w:r>
      <w:r>
        <w:rPr>
          <w:color w:val="6E6158"/>
          <w:sz w:val="19"/>
        </w:rPr>
        <w:t>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223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Ariz.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342,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224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P.3d</w:t>
      </w:r>
      <w:r>
        <w:rPr>
          <w:color w:val="6E6158"/>
          <w:spacing w:val="-4"/>
          <w:sz w:val="19"/>
        </w:rPr>
        <w:t> 158.</w:t>
      </w:r>
    </w:p>
    <w:p>
      <w:pPr>
        <w:pStyle w:val="BodyText"/>
        <w:spacing w:line="283" w:lineRule="auto" w:before="180"/>
        <w:rPr>
          <w:i/>
          <w:sz w:val="20"/>
        </w:rPr>
      </w:pPr>
      <w:r>
        <w:rPr>
          <w:color w:val="6E6158"/>
        </w:rPr>
        <w:t>Obtained decision from Court of Appeals vacating a $25 million punitive damage award in an</w:t>
      </w:r>
      <w:r>
        <w:rPr>
          <w:color w:val="6E6158"/>
          <w:spacing w:val="40"/>
        </w:rPr>
        <w:t> </w:t>
      </w:r>
      <w:r>
        <w:rPr>
          <w:color w:val="6E6158"/>
        </w:rPr>
        <w:t>action against a mental health provider accused of negligent failure to treat. </w:t>
      </w:r>
      <w:r>
        <w:rPr>
          <w:i/>
          <w:color w:val="6E6158"/>
          <w:sz w:val="20"/>
        </w:rPr>
        <w:t>Graham v.</w:t>
      </w:r>
    </w:p>
    <w:p>
      <w:pPr>
        <w:spacing w:line="241" w:lineRule="exact"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ValueOptions</w:t>
      </w:r>
      <w:r>
        <w:rPr>
          <w:color w:val="6E6158"/>
          <w:sz w:val="19"/>
        </w:rPr>
        <w:t>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2010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Ariz.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App.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Unpub.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LEXIS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5"/>
          <w:sz w:val="19"/>
        </w:rPr>
        <w:t>75.</w:t>
      </w:r>
    </w:p>
    <w:p>
      <w:pPr>
        <w:spacing w:line="285" w:lineRule="auto" w:before="17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Represented a homebuilder on appeal in a coverage action against the homebuilder’s insurer.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Decision resulted in new coverage law favorable to business insureds. </w:t>
      </w:r>
      <w:r>
        <w:rPr>
          <w:i/>
          <w:color w:val="6E6158"/>
          <w:sz w:val="20"/>
        </w:rPr>
        <w:t>Desert Mountain Properties</w:t>
      </w:r>
      <w:r>
        <w:rPr>
          <w:i/>
          <w:color w:val="6E6158"/>
          <w:sz w:val="20"/>
        </w:rPr>
        <w:t> Limited Partnership v. Liberty Mutual Fire Ins. Co.</w:t>
      </w:r>
      <w:r>
        <w:rPr>
          <w:color w:val="6E6158"/>
          <w:sz w:val="19"/>
        </w:rPr>
        <w:t>, No. CV-10-0339-PR (Ariz. May 12, 2011).</w:t>
      </w:r>
    </w:p>
    <w:p>
      <w:pPr>
        <w:pStyle w:val="BodyText"/>
        <w:spacing w:line="290" w:lineRule="auto" w:before="124"/>
        <w:ind w:right="395"/>
      </w:pPr>
      <w:r>
        <w:rPr>
          <w:color w:val="6E6158"/>
        </w:rPr>
        <w:t>Represented a major homebuilder in a successful appeal reversing a summary judgment that</w:t>
      </w:r>
      <w:r>
        <w:rPr>
          <w:color w:val="6E6158"/>
          <w:spacing w:val="40"/>
        </w:rPr>
        <w:t> </w:t>
      </w:r>
      <w:r>
        <w:rPr>
          <w:color w:val="6E6158"/>
        </w:rPr>
        <w:t>the homebuilder’s and its contractors’ insurers did not have a duty to defend a construction</w:t>
      </w:r>
      <w:r>
        <w:rPr>
          <w:color w:val="6E6158"/>
          <w:spacing w:val="40"/>
        </w:rPr>
        <w:t> </w:t>
      </w:r>
      <w:r>
        <w:rPr>
          <w:color w:val="6E6158"/>
        </w:rPr>
        <w:t>defect lawsuit under a general liability insurance policy. </w:t>
      </w:r>
      <w:r>
        <w:rPr>
          <w:i/>
          <w:color w:val="6E6158"/>
          <w:sz w:val="20"/>
        </w:rPr>
        <w:t>Lennar Corp. v. Auto-Owners Ins. Co</w:t>
      </w:r>
      <w:r>
        <w:rPr>
          <w:color w:val="6E6158"/>
        </w:rPr>
        <w:t>., 151 P.3d 538 App. 2007.</w:t>
      </w:r>
    </w:p>
    <w:p>
      <w:pPr>
        <w:pStyle w:val="BodyText"/>
        <w:spacing w:line="288" w:lineRule="auto" w:before="127"/>
        <w:ind w:right="319"/>
      </w:pPr>
      <w:r>
        <w:rPr>
          <w:color w:val="6E6158"/>
        </w:rPr>
        <w:t>Represented a public official in an appeal resulting in an Arizona Supreme Court opinion</w:t>
      </w:r>
      <w:r>
        <w:rPr>
          <w:color w:val="6E6158"/>
          <w:spacing w:val="40"/>
        </w:rPr>
        <w:t> </w:t>
      </w:r>
      <w:r>
        <w:rPr>
          <w:color w:val="6E6158"/>
        </w:rPr>
        <w:t>establishing that personal emails of a public employee located on his or her employer’s</w:t>
      </w:r>
      <w:r>
        <w:rPr>
          <w:color w:val="6E6158"/>
          <w:spacing w:val="40"/>
        </w:rPr>
        <w:t> </w:t>
      </w:r>
      <w:r>
        <w:rPr>
          <w:color w:val="6E6158"/>
        </w:rPr>
        <w:t>computer are not public records unless related to the public business of the employee. </w:t>
      </w:r>
      <w:r>
        <w:rPr>
          <w:i/>
          <w:color w:val="6E6158"/>
          <w:sz w:val="20"/>
        </w:rPr>
        <w:t>Griffis v.</w:t>
      </w:r>
      <w:r>
        <w:rPr>
          <w:i/>
          <w:color w:val="6E6158"/>
          <w:sz w:val="20"/>
        </w:rPr>
        <w:t> Pinal County and Phoenix Newspapers, </w:t>
      </w:r>
      <w:r>
        <w:rPr>
          <w:color w:val="6E6158"/>
        </w:rPr>
        <w:t>215 Ariz. 1, 156 P.3d 418 (2007).</w:t>
      </w:r>
    </w:p>
    <w:p>
      <w:pPr>
        <w:pStyle w:val="BodyText"/>
        <w:spacing w:line="288" w:lineRule="auto" w:before="122"/>
        <w:ind w:right="105"/>
      </w:pPr>
      <w:r>
        <w:rPr>
          <w:color w:val="6E6158"/>
        </w:rPr>
        <w:t>Represented an incumbent telecommunications company in a appeal to the Arizona </w:t>
      </w:r>
      <w:r>
        <w:rPr>
          <w:color w:val="6E6158"/>
        </w:rPr>
        <w:t>Supreme</w:t>
      </w:r>
      <w:r>
        <w:rPr>
          <w:color w:val="6E6158"/>
          <w:spacing w:val="40"/>
        </w:rPr>
        <w:t> </w:t>
      </w:r>
      <w:r>
        <w:rPr>
          <w:color w:val="6E6158"/>
        </w:rPr>
        <w:t>Court establishing that all telecommunications providers in the state are subject to the state</w:t>
      </w:r>
      <w:r>
        <w:rPr>
          <w:color w:val="6E6158"/>
          <w:spacing w:val="40"/>
        </w:rPr>
        <w:t> </w:t>
      </w:r>
      <w:r>
        <w:rPr>
          <w:color w:val="6E6158"/>
        </w:rPr>
        <w:t>constitution’s fair value requirement. </w:t>
      </w:r>
      <w:r>
        <w:rPr>
          <w:i/>
          <w:color w:val="6E6158"/>
          <w:sz w:val="20"/>
        </w:rPr>
        <w:t>US West Communications, Inc. v. Arizona Corporation</w:t>
      </w:r>
      <w:r>
        <w:rPr>
          <w:i/>
          <w:color w:val="6E6158"/>
          <w:sz w:val="20"/>
        </w:rPr>
        <w:t> Commission</w:t>
      </w:r>
      <w:r>
        <w:rPr>
          <w:color w:val="6E6158"/>
        </w:rPr>
        <w:t>, 201 Ariz. 242, 34 P.3d 351 (2001).</w:t>
      </w:r>
    </w:p>
    <w:p>
      <w:pPr>
        <w:pStyle w:val="BodyText"/>
        <w:spacing w:line="290" w:lineRule="auto" w:before="122"/>
        <w:ind w:right="319"/>
      </w:pPr>
      <w:r>
        <w:rPr>
          <w:color w:val="6E6158"/>
        </w:rPr>
        <w:t>Represented Arizona Governor Jane Dee Hull in a special action to the Supreme Court</w:t>
      </w:r>
      <w:r>
        <w:rPr>
          <w:color w:val="6E6158"/>
          <w:spacing w:val="40"/>
        </w:rPr>
        <w:t> </w:t>
      </w:r>
      <w:r>
        <w:rPr>
          <w:color w:val="6E6158"/>
        </w:rPr>
        <w:t>concerning the constitutionality of a statute adopted to deal with the court’s mandate</w:t>
      </w:r>
      <w:r>
        <w:rPr>
          <w:color w:val="6E6158"/>
          <w:spacing w:val="40"/>
        </w:rPr>
        <w:t> </w:t>
      </w:r>
      <w:r>
        <w:rPr>
          <w:color w:val="6E6158"/>
        </w:rPr>
        <w:t>concerning funding of construction of school facilities. </w:t>
      </w:r>
      <w:r>
        <w:rPr>
          <w:i/>
          <w:color w:val="6E6158"/>
          <w:sz w:val="20"/>
        </w:rPr>
        <w:t>Hull v. Albrecht, </w:t>
      </w:r>
      <w:r>
        <w:rPr>
          <w:color w:val="6E6158"/>
        </w:rPr>
        <w:t>192 Ariz. 34, 960 P.2d 634 </w:t>
      </w:r>
      <w:r>
        <w:rPr>
          <w:color w:val="6E6158"/>
          <w:spacing w:val="-2"/>
        </w:rPr>
        <w:t>(1998).</w:t>
      </w:r>
    </w:p>
    <w:p>
      <w:pPr>
        <w:pStyle w:val="BodyText"/>
        <w:spacing w:before="124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8"/>
        <w:ind w:left="0"/>
        <w:rPr>
          <w:b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Appellate Law,</w:t>
      </w:r>
      <w:r>
        <w:rPr>
          <w:color w:val="6E6158"/>
          <w:spacing w:val="-1"/>
          <w:sz w:val="19"/>
        </w:rPr>
        <w:t>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Appellate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Practice,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Communications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2"/>
          <w:sz w:val="19"/>
        </w:rPr>
        <w:t> </w:t>
      </w:r>
      <w:r>
        <w:rPr>
          <w:color w:val="6E6158"/>
          <w:spacing w:val="-4"/>
          <w:sz w:val="19"/>
        </w:rPr>
        <w:t>2025</w:t>
      </w:r>
    </w:p>
    <w:p>
      <w:pPr>
        <w:pStyle w:val="BodyText"/>
        <w:spacing w:line="288" w:lineRule="auto" w:before="165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</w:rPr>
        <w:t>, Lawyer of the Year, Litigation-Regulatory Enforcement (SEC, Telecom, Energy), 2012, 2015, 2017, 2020 &amp; 2024</w:t>
      </w:r>
    </w:p>
    <w:p>
      <w:pPr>
        <w:spacing w:before="128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Lawyer of the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Year, Litigation – Municipal, 2014, 2016,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2024</w:t>
      </w:r>
    </w:p>
    <w:p>
      <w:pPr>
        <w:pStyle w:val="BodyText"/>
        <w:spacing w:line="288" w:lineRule="auto" w:before="165"/>
        <w:ind w:right="434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</w:rPr>
        <w:t>Appellate Practice, Communications Law</w:t>
      </w:r>
      <w:r>
        <w:rPr>
          <w:i/>
          <w:color w:val="6E6158"/>
          <w:sz w:val="20"/>
        </w:rPr>
        <w:t>, </w:t>
      </w:r>
      <w:r>
        <w:rPr>
          <w:color w:val="6E6158"/>
        </w:rPr>
        <w:t>Energy Law, Litigation – Municipal,</w:t>
      </w:r>
      <w:r>
        <w:rPr>
          <w:color w:val="6E6158"/>
          <w:spacing w:val="15"/>
        </w:rPr>
        <w:t> </w:t>
      </w:r>
      <w:r>
        <w:rPr>
          <w:color w:val="6E6158"/>
        </w:rPr>
        <w:t>Litigation</w:t>
      </w:r>
      <w:r>
        <w:rPr>
          <w:color w:val="6E6158"/>
          <w:spacing w:val="15"/>
        </w:rPr>
        <w:t> </w:t>
      </w:r>
      <w:r>
        <w:rPr>
          <w:color w:val="6E6158"/>
        </w:rPr>
        <w:t>–</w:t>
      </w:r>
      <w:r>
        <w:rPr>
          <w:color w:val="6E6158"/>
          <w:spacing w:val="15"/>
        </w:rPr>
        <w:t> </w:t>
      </w:r>
      <w:r>
        <w:rPr>
          <w:color w:val="6E6158"/>
        </w:rPr>
        <w:t>Regulatory</w:t>
      </w:r>
      <w:r>
        <w:rPr>
          <w:color w:val="6E6158"/>
          <w:spacing w:val="15"/>
        </w:rPr>
        <w:t> </w:t>
      </w:r>
      <w:r>
        <w:rPr>
          <w:color w:val="6E6158"/>
        </w:rPr>
        <w:t>Enforcement</w:t>
      </w:r>
      <w:r>
        <w:rPr>
          <w:color w:val="6E6158"/>
          <w:spacing w:val="15"/>
        </w:rPr>
        <w:t> </w:t>
      </w:r>
      <w:r>
        <w:rPr>
          <w:color w:val="6E6158"/>
        </w:rPr>
        <w:t>(SEC,</w:t>
      </w:r>
      <w:r>
        <w:rPr>
          <w:color w:val="6E6158"/>
          <w:spacing w:val="15"/>
        </w:rPr>
        <w:t> </w:t>
      </w:r>
      <w:r>
        <w:rPr>
          <w:color w:val="6E6158"/>
        </w:rPr>
        <w:t>Telecom,</w:t>
      </w:r>
      <w:r>
        <w:rPr>
          <w:color w:val="6E6158"/>
          <w:spacing w:val="15"/>
        </w:rPr>
        <w:t> </w:t>
      </w:r>
      <w:r>
        <w:rPr>
          <w:color w:val="6E6158"/>
        </w:rPr>
        <w:t>Energy),</w:t>
      </w:r>
      <w:r>
        <w:rPr>
          <w:color w:val="6E6158"/>
          <w:spacing w:val="15"/>
        </w:rPr>
        <w:t> </w:t>
      </w:r>
      <w:r>
        <w:rPr>
          <w:color w:val="6E6158"/>
        </w:rPr>
        <w:t>Utilities</w:t>
      </w:r>
      <w:r>
        <w:rPr>
          <w:color w:val="6E6158"/>
          <w:spacing w:val="15"/>
        </w:rPr>
        <w:t> </w:t>
      </w:r>
      <w:r>
        <w:rPr>
          <w:color w:val="6E6158"/>
        </w:rPr>
        <w:t>Law,</w:t>
      </w:r>
      <w:r>
        <w:rPr>
          <w:color w:val="6E6158"/>
          <w:spacing w:val="15"/>
        </w:rPr>
        <w:t> </w:t>
      </w:r>
      <w:r>
        <w:rPr>
          <w:color w:val="6E6158"/>
        </w:rPr>
        <w:t>2003-</w:t>
      </w:r>
      <w:r>
        <w:rPr>
          <w:color w:val="6E6158"/>
          <w:spacing w:val="-4"/>
        </w:rPr>
        <w:t>2027</w:t>
      </w:r>
    </w:p>
    <w:p>
      <w:pPr>
        <w:spacing w:before="118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Chambers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USA,</w:t>
      </w:r>
      <w:r>
        <w:rPr>
          <w:i/>
          <w:color w:val="6E6158"/>
          <w:spacing w:val="2"/>
          <w:sz w:val="20"/>
        </w:rPr>
        <w:t> </w:t>
      </w:r>
      <w:r>
        <w:rPr>
          <w:color w:val="6E6158"/>
          <w:sz w:val="19"/>
        </w:rPr>
        <w:t>Leading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2012,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2020-</w:t>
      </w:r>
      <w:r>
        <w:rPr>
          <w:color w:val="6E6158"/>
          <w:spacing w:val="-4"/>
          <w:sz w:val="19"/>
        </w:rPr>
        <w:t>2026</w:t>
      </w:r>
    </w:p>
    <w:p>
      <w:pPr>
        <w:spacing w:after="0"/>
        <w:jc w:val="left"/>
        <w:rPr>
          <w:sz w:val="19"/>
        </w:rPr>
        <w:sectPr>
          <w:pgSz w:w="12240" w:h="15840"/>
          <w:pgMar w:top="500" w:bottom="280" w:left="1440" w:right="1440"/>
        </w:sectPr>
      </w:pPr>
    </w:p>
    <w:p>
      <w:pPr>
        <w:spacing w:before="96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Southwest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Top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50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Arizona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Super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Lawyers,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2012-2013,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2015-2016,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2020,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2023</w:t>
      </w:r>
      <w:r>
        <w:rPr>
          <w:color w:val="6E6158"/>
          <w:spacing w:val="3"/>
          <w:sz w:val="19"/>
        </w:rPr>
        <w:t> </w:t>
      </w:r>
      <w:r>
        <w:rPr>
          <w:color w:val="6E6158"/>
          <w:spacing w:val="-5"/>
          <w:sz w:val="19"/>
        </w:rPr>
        <w:t>and</w:t>
      </w:r>
    </w:p>
    <w:p>
      <w:pPr>
        <w:pStyle w:val="BodyText"/>
        <w:spacing w:before="50"/>
      </w:pPr>
      <w:r>
        <w:rPr>
          <w:color w:val="6E6158"/>
          <w:spacing w:val="-4"/>
        </w:rPr>
        <w:t>2024</w:t>
      </w:r>
    </w:p>
    <w:p>
      <w:pPr>
        <w:spacing w:line="408" w:lineRule="auto" w:before="174"/>
        <w:ind w:left="99" w:right="3303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 Appellate and Utilities, 2007-</w:t>
      </w:r>
      <w:r>
        <w:rPr>
          <w:color w:val="6E6158"/>
          <w:sz w:val="19"/>
        </w:rPr>
        <w:t>2026 Top Lawyers, Phoenix Magazine, 2025</w:t>
      </w:r>
    </w:p>
    <w:p>
      <w:pPr>
        <w:spacing w:before="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100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Arizona,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AZ Big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Media</w:t>
      </w:r>
      <w:r>
        <w:rPr>
          <w:color w:val="6E6158"/>
          <w:sz w:val="19"/>
        </w:rPr>
        <w:t>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2020,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2022-</w:t>
      </w:r>
      <w:r>
        <w:rPr>
          <w:color w:val="6E6158"/>
          <w:spacing w:val="-4"/>
          <w:sz w:val="19"/>
        </w:rPr>
        <w:t>2023</w:t>
      </w:r>
    </w:p>
    <w:p>
      <w:pPr>
        <w:spacing w:before="165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Appellate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Practice,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2011,</w:t>
      </w:r>
      <w:r>
        <w:rPr>
          <w:color w:val="6E6158"/>
          <w:spacing w:val="-2"/>
          <w:sz w:val="19"/>
        </w:rPr>
        <w:t> </w:t>
      </w:r>
      <w:r>
        <w:rPr>
          <w:color w:val="6E6158"/>
          <w:spacing w:val="-4"/>
          <w:sz w:val="19"/>
        </w:rPr>
        <w:t>2021</w:t>
      </w:r>
    </w:p>
    <w:p>
      <w:pPr>
        <w:spacing w:before="17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Communications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2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spacing w:line="398" w:lineRule="auto" w:before="165"/>
        <w:ind w:left="99" w:right="1847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Lawyer of the Year, Appellate Practice, 2011, 2018 Top 100 Lawyers, </w:t>
      </w:r>
      <w:r>
        <w:rPr>
          <w:i/>
          <w:color w:val="6E6158"/>
          <w:sz w:val="20"/>
        </w:rPr>
        <w:t>AZ Business Magazine, </w:t>
      </w:r>
      <w:r>
        <w:rPr>
          <w:color w:val="6E6158"/>
          <w:sz w:val="19"/>
        </w:rPr>
        <w:t>2020</w:t>
      </w:r>
    </w:p>
    <w:p>
      <w:pPr>
        <w:spacing w:line="405" w:lineRule="auto" w:before="0"/>
        <w:ind w:left="99" w:right="1502" w:firstLine="0"/>
        <w:jc w:val="left"/>
        <w:rPr>
          <w:sz w:val="19"/>
        </w:rPr>
      </w:pPr>
      <w:r>
        <w:rPr>
          <w:i/>
          <w:color w:val="6E6158"/>
          <w:sz w:val="20"/>
        </w:rPr>
        <w:t>Benchmark: Appellate</w:t>
      </w:r>
      <w:r>
        <w:rPr>
          <w:color w:val="6E6158"/>
          <w:sz w:val="19"/>
        </w:rPr>
        <w:t>, Leading Appellate Practitioner, Ninth Circuit, 2012-</w:t>
      </w:r>
      <w:r>
        <w:rPr>
          <w:color w:val="6E6158"/>
          <w:sz w:val="19"/>
        </w:rPr>
        <w:t>2013 Most Admired CEO Award recipient – </w:t>
      </w:r>
      <w:r>
        <w:rPr>
          <w:i/>
          <w:color w:val="6E6158"/>
          <w:sz w:val="20"/>
        </w:rPr>
        <w:t>Phoenix Business Journal</w:t>
      </w:r>
      <w:r>
        <w:rPr>
          <w:color w:val="6E6158"/>
          <w:sz w:val="19"/>
        </w:rPr>
        <w:t>, 2012</w:t>
      </w:r>
    </w:p>
    <w:p>
      <w:pPr>
        <w:pStyle w:val="BodyText"/>
        <w:spacing w:line="408" w:lineRule="auto"/>
        <w:ind w:right="1502"/>
      </w:pPr>
      <w:r>
        <w:rPr>
          <w:i/>
          <w:color w:val="6E6158"/>
          <w:sz w:val="20"/>
        </w:rPr>
        <w:t>Arizona’s Best Lawyers, </w:t>
      </w:r>
      <w:r>
        <w:rPr>
          <w:color w:val="6E6158"/>
        </w:rPr>
        <w:t>Appellate Practice and Commercial Litigation, </w:t>
      </w:r>
      <w:r>
        <w:rPr>
          <w:color w:val="6E6158"/>
        </w:rPr>
        <w:t>2011 Distinguished Citizen Award, University of Arizona Alumni Association, 2001</w:t>
      </w:r>
    </w:p>
    <w:p>
      <w:pPr>
        <w:pStyle w:val="BodyText"/>
        <w:rPr>
          <w:i/>
          <w:sz w:val="20"/>
        </w:rPr>
      </w:pPr>
      <w:r>
        <w:rPr>
          <w:color w:val="6E6158"/>
        </w:rPr>
        <w:t>Selected,</w:t>
      </w:r>
      <w:r>
        <w:rPr>
          <w:color w:val="6E6158"/>
          <w:spacing w:val="8"/>
        </w:rPr>
        <w:t> </w:t>
      </w:r>
      <w:r>
        <w:rPr>
          <w:color w:val="6E6158"/>
        </w:rPr>
        <w:t>AZ</w:t>
      </w:r>
      <w:r>
        <w:rPr>
          <w:color w:val="6E6158"/>
          <w:spacing w:val="8"/>
        </w:rPr>
        <w:t> </w:t>
      </w:r>
      <w:r>
        <w:rPr>
          <w:color w:val="6E6158"/>
        </w:rPr>
        <w:t>Business</w:t>
      </w:r>
      <w:r>
        <w:rPr>
          <w:color w:val="6E6158"/>
          <w:spacing w:val="8"/>
        </w:rPr>
        <w:t> </w:t>
      </w:r>
      <w:r>
        <w:rPr>
          <w:color w:val="6E6158"/>
        </w:rPr>
        <w:t>Leaders</w:t>
      </w:r>
      <w:r>
        <w:rPr>
          <w:color w:val="6E6158"/>
          <w:spacing w:val="9"/>
        </w:rPr>
        <w:t> </w:t>
      </w:r>
      <w:r>
        <w:rPr>
          <w:color w:val="6E6158"/>
        </w:rPr>
        <w:t>–</w:t>
      </w:r>
      <w:r>
        <w:rPr>
          <w:color w:val="6E6158"/>
          <w:spacing w:val="8"/>
        </w:rPr>
        <w:t> </w:t>
      </w:r>
      <w:r>
        <w:rPr>
          <w:color w:val="6E6158"/>
        </w:rPr>
        <w:t>Law</w:t>
      </w:r>
      <w:r>
        <w:rPr>
          <w:color w:val="6E6158"/>
          <w:spacing w:val="8"/>
        </w:rPr>
        <w:t> </w:t>
      </w:r>
      <w:r>
        <w:rPr>
          <w:color w:val="6E6158"/>
        </w:rPr>
        <w:t>–</w:t>
      </w:r>
      <w:r>
        <w:rPr>
          <w:color w:val="6E6158"/>
          <w:spacing w:val="8"/>
        </w:rPr>
        <w:t> </w:t>
      </w:r>
      <w:r>
        <w:rPr>
          <w:color w:val="6E6158"/>
        </w:rPr>
        <w:t>Environmental,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AZ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z w:val="20"/>
        </w:rPr>
        <w:t>Big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pacing w:val="-2"/>
          <w:sz w:val="20"/>
        </w:rPr>
        <w:t>Media</w:t>
      </w:r>
    </w:p>
    <w:p>
      <w:pPr>
        <w:pStyle w:val="BodyText"/>
        <w:spacing w:before="166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319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Treasury Suspends Enforcement of Corporate Transparency Act &amp; </w:t>
        </w:r>
        <w:r>
          <w:rPr>
            <w:color w:val="F5821F"/>
          </w:rPr>
          <w:t>Proposes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Narrowed Scope</w:t>
        </w:r>
      </w:hyperlink>
      <w:r>
        <w:rPr>
          <w:color w:val="6E6158"/>
        </w:rPr>
        <w:t>,” Fennemore Blog, March 5, 2025</w:t>
      </w:r>
    </w:p>
    <w:p>
      <w:pPr>
        <w:pStyle w:val="BodyText"/>
        <w:spacing w:line="292" w:lineRule="auto" w:before="131"/>
        <w:ind w:right="105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An ounce of prevention goes a long way to avoid wire hacking schemes: 4 tips for</w:t>
        </w:r>
      </w:hyperlink>
      <w:r>
        <w:rPr>
          <w:color w:val="F5821F"/>
          <w:spacing w:val="40"/>
        </w:rPr>
        <w:t> </w:t>
      </w:r>
      <w:hyperlink r:id="rId13">
        <w:r>
          <w:rPr>
            <w:color w:val="F5821F"/>
          </w:rPr>
          <w:t>businesses</w:t>
        </w:r>
      </w:hyperlink>
      <w:r>
        <w:rPr>
          <w:color w:val="6E6158"/>
        </w:rPr>
        <w:t>,” Phoenix Business Journal, March 1, 2025</w:t>
      </w:r>
    </w:p>
    <w:p>
      <w:pPr>
        <w:pStyle w:val="BodyText"/>
        <w:spacing w:line="292" w:lineRule="auto" w:before="123"/>
        <w:ind w:right="105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Client Alert: Corporate Transparency Act Compliance – New Filing Deadline </w:t>
        </w:r>
        <w:r>
          <w:rPr>
            <w:color w:val="F5821F"/>
          </w:rPr>
          <w:t>&amp;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Compliance Tool</w:t>
        </w:r>
      </w:hyperlink>
      <w:r>
        <w:rPr>
          <w:color w:val="6E6158"/>
        </w:rPr>
        <w:t>,” Fennemore Blog, February 20, 2025</w:t>
      </w:r>
    </w:p>
    <w:p>
      <w:pPr>
        <w:pStyle w:val="BodyText"/>
        <w:spacing w:line="292" w:lineRule="auto" w:before="132"/>
        <w:ind w:right="319"/>
      </w:pPr>
      <w:r>
        <w:rPr>
          <w:color w:val="6E6158"/>
        </w:rPr>
        <w:t>Interview, “</w:t>
      </w:r>
      <w:hyperlink r:id="rId15">
        <w:r>
          <w:rPr>
            <w:color w:val="F5821F"/>
          </w:rPr>
          <w:t>Arizona ranchers appeal water rights case involving Gila River Indian </w:t>
        </w:r>
        <w:r>
          <w:rPr>
            <w:color w:val="F5821F"/>
          </w:rPr>
          <w:t>Community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KJZZ, February 10, 2025</w:t>
      </w:r>
    </w:p>
    <w:p>
      <w:pPr>
        <w:pStyle w:val="BodyText"/>
        <w:spacing w:line="292" w:lineRule="auto" w:before="123"/>
        <w:ind w:right="434"/>
      </w:pPr>
      <w:r>
        <w:rPr>
          <w:color w:val="6E6158"/>
        </w:rPr>
        <w:t>Quoted, “Judicial Retention Becomes Political in 2024,” Arizona Capitol Times, December </w:t>
      </w:r>
      <w:r>
        <w:rPr>
          <w:color w:val="6E6158"/>
        </w:rPr>
        <w:t>30,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31"/>
        <w:ind w:right="105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Nationwide Injunction Temporarily Halts Corporate Transparency Act BOIR </w:t>
        </w:r>
        <w:r>
          <w:rPr>
            <w:color w:val="F5821F"/>
          </w:rPr>
          <w:t>Filing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Requirements: What You Need to Know</w:t>
        </w:r>
      </w:hyperlink>
      <w:r>
        <w:rPr>
          <w:color w:val="6E6158"/>
        </w:rPr>
        <w:t>,” Fennemore Blog, December 5, 2024</w:t>
      </w:r>
    </w:p>
    <w:p>
      <w:pPr>
        <w:pStyle w:val="BodyText"/>
        <w:spacing w:line="302" w:lineRule="auto" w:before="124"/>
        <w:ind w:right="105"/>
      </w:pPr>
      <w:r>
        <w:rPr>
          <w:color w:val="6E6158"/>
        </w:rPr>
        <w:t>Presenter, “Arizona Merit Selection and Retention Elections: A Nonpartisan Discussion,” </w:t>
      </w:r>
      <w:r>
        <w:rPr>
          <w:color w:val="6E6158"/>
        </w:rPr>
        <w:t>Christian Legal</w:t>
      </w:r>
      <w:r>
        <w:rPr>
          <w:color w:val="6E6158"/>
          <w:spacing w:val="27"/>
        </w:rPr>
        <w:t> </w:t>
      </w:r>
      <w:r>
        <w:rPr>
          <w:color w:val="6E6158"/>
        </w:rPr>
        <w:t>Society</w:t>
      </w:r>
      <w:r>
        <w:rPr>
          <w:color w:val="6E6158"/>
          <w:spacing w:val="27"/>
        </w:rPr>
        <w:t> </w:t>
      </w:r>
      <w:r>
        <w:rPr>
          <w:color w:val="6E6158"/>
        </w:rPr>
        <w:t>student</w:t>
      </w:r>
      <w:r>
        <w:rPr>
          <w:color w:val="6E6158"/>
          <w:spacing w:val="27"/>
        </w:rPr>
        <w:t> </w:t>
      </w:r>
      <w:r>
        <w:rPr>
          <w:color w:val="6E6158"/>
        </w:rPr>
        <w:t>chapter</w:t>
      </w:r>
      <w:r>
        <w:rPr>
          <w:color w:val="6E6158"/>
          <w:spacing w:val="27"/>
        </w:rPr>
        <w:t> </w:t>
      </w:r>
      <w:r>
        <w:rPr>
          <w:color w:val="6E6158"/>
        </w:rPr>
        <w:t>at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Sandra</w:t>
      </w:r>
      <w:r>
        <w:rPr>
          <w:color w:val="6E6158"/>
          <w:spacing w:val="27"/>
        </w:rPr>
        <w:t> </w:t>
      </w:r>
      <w:r>
        <w:rPr>
          <w:color w:val="6E6158"/>
        </w:rPr>
        <w:t>Day</w:t>
      </w:r>
      <w:r>
        <w:rPr>
          <w:color w:val="6E6158"/>
          <w:spacing w:val="27"/>
        </w:rPr>
        <w:t> </w:t>
      </w:r>
      <w:r>
        <w:rPr>
          <w:color w:val="6E6158"/>
        </w:rPr>
        <w:t>O’Connor</w:t>
      </w:r>
      <w:r>
        <w:rPr>
          <w:color w:val="6E6158"/>
          <w:spacing w:val="27"/>
        </w:rPr>
        <w:t> </w:t>
      </w:r>
      <w:r>
        <w:rPr>
          <w:color w:val="6E6158"/>
        </w:rPr>
        <w:t>College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  <w:r>
        <w:rPr>
          <w:color w:val="6E6158"/>
          <w:spacing w:val="27"/>
        </w:rPr>
        <w:t> </w:t>
      </w:r>
      <w:r>
        <w:rPr>
          <w:color w:val="6E6158"/>
        </w:rPr>
        <w:t>at</w:t>
      </w:r>
      <w:r>
        <w:rPr>
          <w:color w:val="6E6158"/>
          <w:spacing w:val="27"/>
        </w:rPr>
        <w:t> </w:t>
      </w:r>
      <w:r>
        <w:rPr>
          <w:color w:val="6E6158"/>
        </w:rPr>
        <w:t>Arizona</w:t>
      </w:r>
      <w:r>
        <w:rPr>
          <w:color w:val="6E6158"/>
          <w:spacing w:val="27"/>
        </w:rPr>
        <w:t> </w:t>
      </w:r>
      <w:r>
        <w:rPr>
          <w:color w:val="6E6158"/>
        </w:rPr>
        <w:t>State</w:t>
      </w:r>
    </w:p>
    <w:p>
      <w:pPr>
        <w:pStyle w:val="BodyText"/>
        <w:spacing w:line="224" w:lineRule="exact"/>
      </w:pPr>
      <w:r>
        <w:rPr>
          <w:color w:val="6E6158"/>
        </w:rPr>
        <w:t>University,</w:t>
      </w:r>
      <w:r>
        <w:rPr>
          <w:color w:val="6E6158"/>
          <w:spacing w:val="13"/>
        </w:rPr>
        <w:t> </w:t>
      </w:r>
      <w:r>
        <w:rPr>
          <w:color w:val="6E6158"/>
        </w:rPr>
        <w:t>October</w:t>
      </w:r>
      <w:r>
        <w:rPr>
          <w:color w:val="6E6158"/>
          <w:spacing w:val="13"/>
        </w:rPr>
        <w:t> </w:t>
      </w:r>
      <w:r>
        <w:rPr>
          <w:color w:val="6E6158"/>
        </w:rPr>
        <w:t>3,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105"/>
      </w:pPr>
      <w:r>
        <w:rPr>
          <w:color w:val="6E6158"/>
        </w:rPr>
        <w:t>Co-Author, “</w:t>
      </w:r>
      <w:hyperlink r:id="rId17">
        <w:r>
          <w:rPr>
            <w:color w:val="F5821F"/>
          </w:rPr>
          <w:t>Their Take: Merit Selection – A Respected Arizona System of Judge Selection Worth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Preserving</w:t>
        </w:r>
      </w:hyperlink>
      <w:r>
        <w:rPr>
          <w:color w:val="6E6158"/>
        </w:rPr>
        <w:t>,” Greater Phoenix InBusiness Magazine, June 5, 2024</w:t>
      </w:r>
    </w:p>
    <w:p>
      <w:pPr>
        <w:pStyle w:val="BodyText"/>
        <w:spacing w:line="292" w:lineRule="auto" w:before="131"/>
        <w:ind w:right="105"/>
      </w:pPr>
      <w:hyperlink r:id="rId18">
        <w:r>
          <w:rPr>
            <w:color w:val="F5821F"/>
          </w:rPr>
          <w:t>Co-Author, Fennemore Notice To Clients – Corporate Transparency Act, Fennemore Client </w:t>
        </w:r>
        <w:r>
          <w:rPr>
            <w:color w:val="F5821F"/>
          </w:rPr>
          <w:t>Alert,</w:t>
        </w:r>
      </w:hyperlink>
      <w:r>
        <w:rPr>
          <w:color w:val="F5821F"/>
        </w:rPr>
        <w:t> </w:t>
      </w:r>
      <w:hyperlink r:id="rId18">
        <w:r>
          <w:rPr>
            <w:color w:val="F5821F"/>
          </w:rPr>
          <w:t>December 29, 2023</w:t>
        </w:r>
      </w:hyperlink>
    </w:p>
    <w:p>
      <w:pPr>
        <w:pStyle w:val="BodyText"/>
        <w:spacing w:before="123"/>
      </w:pPr>
      <w:r>
        <w:rPr>
          <w:color w:val="6E6158"/>
        </w:rPr>
        <w:t>Featured,</w:t>
      </w:r>
      <w:r>
        <w:rPr>
          <w:color w:val="6E6158"/>
          <w:spacing w:val="10"/>
        </w:rPr>
        <w:t> </w:t>
      </w:r>
      <w:r>
        <w:rPr>
          <w:color w:val="6E6158"/>
        </w:rPr>
        <w:t>“Write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Better</w:t>
      </w:r>
      <w:r>
        <w:rPr>
          <w:color w:val="6E6158"/>
          <w:spacing w:val="11"/>
        </w:rPr>
        <w:t> </w:t>
      </w:r>
      <w:r>
        <w:rPr>
          <w:color w:val="6E6158"/>
        </w:rPr>
        <w:t>Legal</w:t>
      </w:r>
      <w:r>
        <w:rPr>
          <w:color w:val="6E6158"/>
          <w:spacing w:val="11"/>
        </w:rPr>
        <w:t> </w:t>
      </w:r>
      <w:r>
        <w:rPr>
          <w:color w:val="6E6158"/>
        </w:rPr>
        <w:t>Brief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Less</w:t>
      </w:r>
      <w:r>
        <w:rPr>
          <w:color w:val="6E6158"/>
          <w:spacing w:val="11"/>
        </w:rPr>
        <w:t> </w:t>
      </w:r>
      <w:r>
        <w:rPr>
          <w:color w:val="6E6158"/>
        </w:rPr>
        <w:t>Time,”</w:t>
      </w:r>
      <w:r>
        <w:rPr>
          <w:color w:val="6E6158"/>
          <w:spacing w:val="11"/>
        </w:rPr>
        <w:t> </w:t>
      </w:r>
      <w:r>
        <w:rPr>
          <w:color w:val="6E6158"/>
        </w:rPr>
        <w:t>Bloomberg</w:t>
      </w:r>
      <w:r>
        <w:rPr>
          <w:color w:val="6E6158"/>
          <w:spacing w:val="11"/>
        </w:rPr>
        <w:t> </w:t>
      </w:r>
      <w:r>
        <w:rPr>
          <w:color w:val="6E6158"/>
        </w:rPr>
        <w:t>Law,</w:t>
      </w:r>
      <w:r>
        <w:rPr>
          <w:color w:val="6E6158"/>
          <w:spacing w:val="11"/>
        </w:rPr>
        <w:t> </w:t>
      </w:r>
      <w:r>
        <w:rPr>
          <w:color w:val="6E6158"/>
        </w:rPr>
        <w:t>August</w:t>
      </w:r>
      <w:r>
        <w:rPr>
          <w:color w:val="6E6158"/>
          <w:spacing w:val="10"/>
        </w:rPr>
        <w:t> </w:t>
      </w:r>
      <w:r>
        <w:rPr>
          <w:color w:val="6E6158"/>
        </w:rPr>
        <w:t>11,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302" w:lineRule="auto" w:before="174"/>
        <w:ind w:right="319"/>
      </w:pPr>
      <w:r>
        <w:rPr>
          <w:color w:val="6E6158"/>
        </w:rPr>
        <w:t>Featured, “Bench Bar Breakfast (State Bar of Texas Annual Meeting 2023),” Legal Talk Network, July 3, 2023</w:t>
      </w:r>
    </w:p>
    <w:p>
      <w:pPr>
        <w:pStyle w:val="BodyText"/>
        <w:spacing w:after="0" w:line="302" w:lineRule="auto"/>
        <w:sectPr>
          <w:pgSz w:w="12240" w:h="15840"/>
          <w:pgMar w:top="480" w:bottom="280" w:left="1440" w:right="1440"/>
        </w:sectPr>
      </w:pPr>
    </w:p>
    <w:p>
      <w:pPr>
        <w:pStyle w:val="BodyText"/>
        <w:spacing w:line="292" w:lineRule="auto" w:before="83"/>
        <w:ind w:right="434"/>
      </w:pPr>
      <w:r>
        <w:rPr>
          <w:color w:val="6E6158"/>
        </w:rPr>
        <w:t>Presenter, “Uniform Laws and the Uniform Law Commission,” Bench Bar Breakfast, State Bar of</w:t>
      </w:r>
      <w:r>
        <w:rPr>
          <w:color w:val="6E6158"/>
          <w:spacing w:val="40"/>
        </w:rPr>
        <w:t> </w:t>
      </w:r>
      <w:r>
        <w:rPr>
          <w:color w:val="6E6158"/>
        </w:rPr>
        <w:t>Texas Annual Meeting, June 22, 2023</w:t>
      </w:r>
    </w:p>
    <w:p>
      <w:pPr>
        <w:pStyle w:val="BodyText"/>
        <w:spacing w:before="132"/>
      </w:pPr>
      <w:r>
        <w:rPr>
          <w:color w:val="6E6158"/>
        </w:rPr>
        <w:t>Featured,</w:t>
      </w:r>
      <w:r>
        <w:rPr>
          <w:color w:val="6E6158"/>
          <w:spacing w:val="9"/>
        </w:rPr>
        <w:t> </w:t>
      </w:r>
      <w:r>
        <w:rPr>
          <w:color w:val="6E6158"/>
        </w:rPr>
        <w:t>“Top</w:t>
      </w:r>
      <w:r>
        <w:rPr>
          <w:color w:val="6E6158"/>
          <w:spacing w:val="10"/>
        </w:rPr>
        <w:t> </w:t>
      </w:r>
      <w:r>
        <w:rPr>
          <w:color w:val="6E6158"/>
        </w:rPr>
        <w:t>100</w:t>
      </w:r>
      <w:r>
        <w:rPr>
          <w:color w:val="6E6158"/>
          <w:spacing w:val="9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Arizona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2023,”</w:t>
      </w:r>
      <w:r>
        <w:rPr>
          <w:color w:val="6E6158"/>
          <w:spacing w:val="10"/>
        </w:rPr>
        <w:t> </w:t>
      </w:r>
      <w:r>
        <w:rPr>
          <w:color w:val="6E6158"/>
        </w:rPr>
        <w:t>AZ</w:t>
      </w:r>
      <w:r>
        <w:rPr>
          <w:color w:val="6E6158"/>
          <w:spacing w:val="9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Media,</w:t>
      </w:r>
      <w:r>
        <w:rPr>
          <w:color w:val="6E6158"/>
          <w:spacing w:val="10"/>
        </w:rPr>
        <w:t> </w:t>
      </w:r>
      <w:r>
        <w:rPr>
          <w:color w:val="6E6158"/>
        </w:rPr>
        <w:t>January</w:t>
      </w:r>
      <w:r>
        <w:rPr>
          <w:color w:val="6E6158"/>
          <w:spacing w:val="9"/>
        </w:rPr>
        <w:t> </w:t>
      </w:r>
      <w:r>
        <w:rPr>
          <w:color w:val="6E6158"/>
        </w:rPr>
        <w:t>19,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408" w:lineRule="auto" w:before="164"/>
        <w:ind w:right="105"/>
      </w:pPr>
      <w:r>
        <w:rPr>
          <w:color w:val="6E6158"/>
        </w:rPr>
        <w:t>Quoted, “What Is the Purpose of the Preamble to the Constitution,” </w:t>
      </w:r>
      <w:r>
        <w:rPr>
          <w:i/>
          <w:color w:val="6E6158"/>
          <w:sz w:val="20"/>
        </w:rPr>
        <w:t>UpJourney</w:t>
      </w:r>
      <w:r>
        <w:rPr>
          <w:color w:val="6E6158"/>
        </w:rPr>
        <w:t>, April 19, </w:t>
      </w:r>
      <w:r>
        <w:rPr>
          <w:color w:val="6E6158"/>
        </w:rPr>
        <w:t>2021 Quoted,</w:t>
      </w:r>
      <w:r>
        <w:rPr>
          <w:color w:val="6E6158"/>
          <w:spacing w:val="26"/>
        </w:rPr>
        <w:t> </w:t>
      </w:r>
      <w:r>
        <w:rPr>
          <w:color w:val="6E6158"/>
        </w:rPr>
        <w:t>“What</w:t>
      </w:r>
      <w:r>
        <w:rPr>
          <w:color w:val="6E6158"/>
          <w:spacing w:val="26"/>
        </w:rPr>
        <w:t> </w:t>
      </w:r>
      <w:r>
        <w:rPr>
          <w:color w:val="6E6158"/>
        </w:rPr>
        <w:t>is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Electoral</w:t>
      </w:r>
      <w:r>
        <w:rPr>
          <w:color w:val="6E6158"/>
          <w:spacing w:val="26"/>
        </w:rPr>
        <w:t> </w:t>
      </w:r>
      <w:r>
        <w:rPr>
          <w:color w:val="6E6158"/>
        </w:rPr>
        <w:t>College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how</w:t>
      </w:r>
      <w:r>
        <w:rPr>
          <w:color w:val="6E6158"/>
          <w:spacing w:val="26"/>
        </w:rPr>
        <w:t> </w:t>
      </w:r>
      <w:r>
        <w:rPr>
          <w:color w:val="6E6158"/>
        </w:rPr>
        <w:t>does</w:t>
      </w:r>
      <w:r>
        <w:rPr>
          <w:color w:val="6E6158"/>
          <w:spacing w:val="26"/>
        </w:rPr>
        <w:t> </w:t>
      </w:r>
      <w:r>
        <w:rPr>
          <w:color w:val="6E6158"/>
        </w:rPr>
        <w:t>it</w:t>
      </w:r>
      <w:r>
        <w:rPr>
          <w:color w:val="6E6158"/>
          <w:spacing w:val="26"/>
        </w:rPr>
        <w:t> </w:t>
      </w:r>
      <w:r>
        <w:rPr>
          <w:color w:val="6E6158"/>
        </w:rPr>
        <w:t>work?”</w:t>
      </w:r>
      <w:r>
        <w:rPr>
          <w:color w:val="6E6158"/>
          <w:spacing w:val="26"/>
        </w:rPr>
        <w:t> </w:t>
      </w:r>
      <w:r>
        <w:rPr>
          <w:color w:val="6E6158"/>
        </w:rPr>
        <w:t>Today,</w:t>
      </w:r>
      <w:r>
        <w:rPr>
          <w:color w:val="6E6158"/>
          <w:spacing w:val="26"/>
        </w:rPr>
        <w:t> </w:t>
      </w:r>
      <w:r>
        <w:rPr>
          <w:color w:val="6E6158"/>
        </w:rPr>
        <w:t>October</w:t>
      </w:r>
      <w:r>
        <w:rPr>
          <w:color w:val="6E6158"/>
          <w:spacing w:val="26"/>
        </w:rPr>
        <w:t> </w:t>
      </w:r>
      <w:r>
        <w:rPr>
          <w:color w:val="6E6158"/>
        </w:rPr>
        <w:t>8,</w:t>
      </w:r>
      <w:r>
        <w:rPr>
          <w:color w:val="6E6158"/>
          <w:spacing w:val="26"/>
        </w:rPr>
        <w:t> </w:t>
      </w:r>
      <w:r>
        <w:rPr>
          <w:color w:val="6E6158"/>
        </w:rPr>
        <w:t>2020</w:t>
      </w:r>
    </w:p>
    <w:p>
      <w:pPr>
        <w:spacing w:line="285" w:lineRule="auto" w:before="0"/>
        <w:ind w:left="99" w:right="132" w:firstLine="0"/>
        <w:jc w:val="left"/>
        <w:rPr>
          <w:sz w:val="19"/>
        </w:rPr>
      </w:pPr>
      <w:r>
        <w:rPr>
          <w:color w:val="6E6158"/>
          <w:sz w:val="19"/>
        </w:rPr>
        <w:t>Quoted, “Supreme Court Refuses to Hear Arizona Rental Car Tax Lawsuit,” </w:t>
      </w:r>
      <w:r>
        <w:rPr>
          <w:i/>
          <w:color w:val="6E6158"/>
          <w:sz w:val="20"/>
        </w:rPr>
        <w:t>Phoenix Business</w:t>
      </w:r>
      <w:r>
        <w:rPr>
          <w:i/>
          <w:color w:val="6E6158"/>
          <w:sz w:val="20"/>
        </w:rPr>
        <w:t> Journal, </w:t>
      </w:r>
      <w:r>
        <w:rPr>
          <w:color w:val="6E6158"/>
          <w:sz w:val="19"/>
        </w:rPr>
        <w:t>October 7, 2019</w:t>
      </w:r>
    </w:p>
    <w:p>
      <w:pPr>
        <w:pStyle w:val="BodyText"/>
        <w:spacing w:line="278" w:lineRule="auto" w:before="117"/>
        <w:ind w:right="105"/>
      </w:pPr>
      <w:r>
        <w:rPr>
          <w:color w:val="6E6158"/>
        </w:rPr>
        <w:t>Quoted, “Judge Denies State’s Request to Let ‘Dark Money’ Law Stand During Appeal,”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z w:val="20"/>
        </w:rPr>
        <w:t> Capitol Times</w:t>
      </w:r>
      <w:r>
        <w:rPr>
          <w:color w:val="6E6158"/>
        </w:rPr>
        <w:t>, August 5, 2019</w:t>
      </w:r>
    </w:p>
    <w:p>
      <w:pPr>
        <w:pStyle w:val="BodyText"/>
        <w:spacing w:line="302" w:lineRule="auto" w:before="133"/>
        <w:ind w:right="319"/>
      </w:pPr>
      <w:r>
        <w:rPr>
          <w:color w:val="6E6158"/>
        </w:rPr>
        <w:t>Speaker, “Splitting Circuits: Past Results and Present Prospects,” 2018 AAAL Fall Meeting, October</w:t>
      </w:r>
      <w:r>
        <w:rPr>
          <w:color w:val="6E6158"/>
          <w:spacing w:val="80"/>
        </w:rPr>
        <w:t> </w:t>
      </w:r>
      <w:r>
        <w:rPr>
          <w:color w:val="6E6158"/>
        </w:rPr>
        <w:t>5, 2018</w:t>
      </w:r>
    </w:p>
    <w:p>
      <w:pPr>
        <w:pStyle w:val="BodyText"/>
        <w:spacing w:line="288" w:lineRule="auto" w:before="102"/>
        <w:ind w:right="319"/>
      </w:pPr>
      <w:r>
        <w:rPr>
          <w:color w:val="6E6158"/>
        </w:rPr>
        <w:t>Co-author, “Be Aware of Changes to Phoenix’s Rules for Lobbyists,” </w:t>
      </w:r>
      <w:r>
        <w:rPr>
          <w:i/>
          <w:color w:val="6E6158"/>
          <w:sz w:val="20"/>
        </w:rPr>
        <w:t>The Arizona Republic</w:t>
      </w:r>
      <w:r>
        <w:rPr>
          <w:color w:val="6E6158"/>
        </w:rPr>
        <w:t>, October 25, 2017</w:t>
      </w:r>
    </w:p>
    <w:p>
      <w:pPr>
        <w:spacing w:before="118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“Uniform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Law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Commission,”</w:t>
      </w:r>
      <w:r>
        <w:rPr>
          <w:color w:val="6E6158"/>
          <w:spacing w:val="6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Attorney</w:t>
      </w:r>
      <w:r>
        <w:rPr>
          <w:color w:val="6E6158"/>
          <w:sz w:val="19"/>
        </w:rPr>
        <w:t>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November</w:t>
      </w:r>
      <w:r>
        <w:rPr>
          <w:color w:val="6E6158"/>
          <w:spacing w:val="6"/>
          <w:sz w:val="19"/>
        </w:rPr>
        <w:t> </w:t>
      </w:r>
      <w:r>
        <w:rPr>
          <w:color w:val="6E6158"/>
          <w:spacing w:val="-4"/>
          <w:sz w:val="19"/>
        </w:rPr>
        <w:t>2016</w:t>
      </w:r>
    </w:p>
    <w:p>
      <w:pPr>
        <w:spacing w:before="17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Author,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“Attorneys’ Fees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on Appeal,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Chapter Nine,”</w:t>
      </w:r>
      <w:r>
        <w:rPr>
          <w:color w:val="6E6158"/>
          <w:spacing w:val="-1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Attorneys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Fees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Manual,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3d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5"/>
          <w:sz w:val="20"/>
        </w:rPr>
        <w:t>Ed.</w:t>
      </w:r>
    </w:p>
    <w:p>
      <w:pPr>
        <w:spacing w:line="278" w:lineRule="auto" w:before="162"/>
        <w:ind w:left="99" w:right="319" w:firstLine="0"/>
        <w:jc w:val="left"/>
        <w:rPr>
          <w:i/>
          <w:sz w:val="20"/>
        </w:rPr>
      </w:pPr>
      <w:r>
        <w:rPr>
          <w:color w:val="6E6158"/>
          <w:sz w:val="19"/>
        </w:rPr>
        <w:t>Author,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“Attorneys’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Fees,”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Chapter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Eleven,</w:t>
      </w:r>
      <w:r>
        <w:rPr>
          <w:color w:val="6E6158"/>
          <w:spacing w:val="-5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Appellate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Handbook,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Vol.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I,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3d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and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4th</w:t>
      </w:r>
      <w:r>
        <w:rPr>
          <w:i/>
          <w:color w:val="6E6158"/>
          <w:sz w:val="20"/>
        </w:rPr>
        <w:t> </w:t>
      </w:r>
      <w:r>
        <w:rPr>
          <w:i/>
          <w:color w:val="6E6158"/>
          <w:spacing w:val="-2"/>
          <w:sz w:val="20"/>
        </w:rPr>
        <w:t>Edition</w:t>
      </w:r>
    </w:p>
    <w:p>
      <w:pPr>
        <w:pStyle w:val="BodyText"/>
        <w:spacing w:before="129"/>
        <w:ind w:left="0"/>
        <w:rPr>
          <w:i/>
          <w:sz w:val="24"/>
        </w:rPr>
      </w:pPr>
    </w:p>
    <w:p>
      <w:pPr>
        <w:pStyle w:val="Heading2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4"/>
        </w:rPr>
        <w:t> </w:t>
      </w:r>
      <w:r>
        <w:rPr>
          <w:color w:val="6E6158"/>
        </w:rPr>
        <w:t>State</w:t>
      </w:r>
      <w:r>
        <w:rPr>
          <w:color w:val="6E6158"/>
          <w:spacing w:val="5"/>
        </w:rPr>
        <w:t> </w:t>
      </w:r>
      <w:r>
        <w:rPr>
          <w:color w:val="6E6158"/>
        </w:rPr>
        <w:t>Bar</w:t>
      </w:r>
      <w:r>
        <w:rPr>
          <w:color w:val="6E6158"/>
          <w:spacing w:val="5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line="292" w:lineRule="auto" w:before="174"/>
        <w:ind w:right="434"/>
      </w:pPr>
      <w:r>
        <w:rPr>
          <w:color w:val="6E6158"/>
        </w:rPr>
        <w:t>Former President, Uniform Law Commission (One of only two presidents from Arizona to have</w:t>
      </w:r>
      <w:r>
        <w:rPr>
          <w:color w:val="6E6158"/>
          <w:spacing w:val="40"/>
        </w:rPr>
        <w:t> </w:t>
      </w:r>
      <w:r>
        <w:rPr>
          <w:color w:val="6E6158"/>
        </w:rPr>
        <w:t>held this position)</w:t>
      </w:r>
    </w:p>
    <w:p>
      <w:pPr>
        <w:pStyle w:val="BodyText"/>
        <w:spacing w:line="427" w:lineRule="auto" w:before="123"/>
        <w:ind w:right="5201"/>
      </w:pPr>
      <w:r>
        <w:rPr>
          <w:color w:val="6E6158"/>
        </w:rPr>
        <w:t>Co-Chair, Arizona Equal Justice </w:t>
      </w:r>
      <w:r>
        <w:rPr>
          <w:color w:val="6E6158"/>
        </w:rPr>
        <w:t>Campaign Member, Greater Phoenix Leadership</w:t>
      </w:r>
    </w:p>
    <w:p>
      <w:pPr>
        <w:pStyle w:val="BodyText"/>
        <w:spacing w:line="226" w:lineRule="exact"/>
      </w:pPr>
      <w:r>
        <w:rPr>
          <w:color w:val="6E6158"/>
        </w:rPr>
        <w:t>Chair,</w:t>
      </w:r>
      <w:r>
        <w:rPr>
          <w:color w:val="6E6158"/>
          <w:spacing w:val="10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Commission</w:t>
      </w:r>
      <w:r>
        <w:rPr>
          <w:color w:val="6E6158"/>
          <w:spacing w:val="11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Uniform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Laws</w:t>
      </w:r>
    </w:p>
    <w:p>
      <w:pPr>
        <w:pStyle w:val="BodyText"/>
        <w:spacing w:line="420" w:lineRule="auto" w:before="174"/>
        <w:ind w:right="3303"/>
      </w:pPr>
      <w:r>
        <w:rPr>
          <w:color w:val="6E6158"/>
        </w:rPr>
        <w:t>Member, Appellate Handbook Committee, State Bar of </w:t>
      </w:r>
      <w:r>
        <w:rPr>
          <w:color w:val="6E6158"/>
        </w:rPr>
        <w:t>Arizona Member, Board of Directors, Arizona Law College Association</w:t>
      </w:r>
    </w:p>
    <w:p>
      <w:pPr>
        <w:pStyle w:val="BodyText"/>
        <w:spacing w:line="420" w:lineRule="auto" w:before="7"/>
        <w:ind w:right="3751"/>
      </w:pPr>
      <w:r>
        <w:rPr>
          <w:color w:val="6E6158"/>
        </w:rPr>
        <w:t>Past Chair, Board of Directors, Herberger Theater Center Past President, American Academy of Appellate </w:t>
      </w:r>
      <w:r>
        <w:rPr>
          <w:color w:val="6E6158"/>
        </w:rPr>
        <w:t>Lawyers</w:t>
      </w:r>
    </w:p>
    <w:p>
      <w:pPr>
        <w:pStyle w:val="BodyText"/>
        <w:spacing w:line="302" w:lineRule="auto"/>
        <w:ind w:right="319"/>
      </w:pPr>
      <w:r>
        <w:rPr>
          <w:color w:val="6E6158"/>
        </w:rPr>
        <w:t>Past Member, Executive Committee, National Conference of Commissioners on Uniform </w:t>
      </w:r>
      <w:r>
        <w:rPr>
          <w:color w:val="6E6158"/>
        </w:rPr>
        <w:t>State </w:t>
      </w:r>
      <w:r>
        <w:rPr>
          <w:color w:val="6E6158"/>
          <w:spacing w:val="-4"/>
        </w:rPr>
        <w:t>Laws</w:t>
      </w:r>
    </w:p>
    <w:p>
      <w:pPr>
        <w:pStyle w:val="BodyText"/>
        <w:spacing w:before="111"/>
      </w:pPr>
      <w:r>
        <w:rPr>
          <w:color w:val="6E6158"/>
        </w:rPr>
        <w:t>Past</w:t>
      </w:r>
      <w:r>
        <w:rPr>
          <w:color w:val="6E6158"/>
          <w:spacing w:val="8"/>
        </w:rPr>
        <w:t> </w:t>
      </w: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Trustees,</w:t>
      </w:r>
      <w:r>
        <w:rPr>
          <w:color w:val="6E6158"/>
          <w:spacing w:val="9"/>
        </w:rPr>
        <w:t> </w:t>
      </w:r>
      <w:r>
        <w:rPr>
          <w:color w:val="6E6158"/>
        </w:rPr>
        <w:t>Maricopa</w:t>
      </w:r>
      <w:r>
        <w:rPr>
          <w:color w:val="6E6158"/>
          <w:spacing w:val="9"/>
        </w:rPr>
        <w:t> </w:t>
      </w:r>
      <w:r>
        <w:rPr>
          <w:color w:val="6E6158"/>
        </w:rPr>
        <w:t>County</w:t>
      </w:r>
      <w:r>
        <w:rPr>
          <w:color w:val="6E6158"/>
          <w:spacing w:val="9"/>
        </w:rPr>
        <w:t> </w:t>
      </w:r>
      <w:r>
        <w:rPr>
          <w:color w:val="6E6158"/>
        </w:rPr>
        <w:t>Bar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Arizona</w:t>
      </w:r>
      <w:r>
        <w:rPr>
          <w:color w:val="6E6158"/>
          <w:spacing w:val="15"/>
        </w:rPr>
        <w:t> </w:t>
      </w:r>
      <w:r>
        <w:rPr>
          <w:color w:val="6E6158"/>
        </w:rPr>
        <w:t>Supreme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D.C.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Federal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Second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0"/>
        </w:rPr>
        <w:t> </w:t>
      </w:r>
      <w:r>
        <w:rPr>
          <w:color w:val="6E6158"/>
        </w:rPr>
        <w:t>Fifth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8"/>
        </w:rPr>
        <w:t> </w:t>
      </w:r>
      <w:r>
        <w:rPr>
          <w:color w:val="6E6158"/>
        </w:rPr>
        <w:t>Court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Appeals,</w:t>
      </w:r>
      <w:r>
        <w:rPr>
          <w:color w:val="6E6158"/>
          <w:spacing w:val="8"/>
        </w:rPr>
        <w:t> </w:t>
      </w:r>
      <w:r>
        <w:rPr>
          <w:color w:val="6E6158"/>
        </w:rPr>
        <w:t>Tenth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line="427" w:lineRule="auto" w:before="174"/>
        <w:ind w:right="5201"/>
      </w:pPr>
      <w:r>
        <w:rPr>
          <w:color w:val="6E6158"/>
        </w:rPr>
        <w:t>U.S. Court of Appeals, Eleventh </w:t>
      </w:r>
      <w:r>
        <w:rPr>
          <w:color w:val="6E6158"/>
        </w:rPr>
        <w:t>Circuit</w:t>
      </w:r>
      <w:r>
        <w:rPr>
          <w:color w:val="6E6158"/>
        </w:rPr>
        <w:t> United States Supreme Court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appellate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tberg@fennemorelaw.com" TargetMode="External"/><Relationship Id="rId11" Type="http://schemas.openxmlformats.org/officeDocument/2006/relationships/hyperlink" Target="https://www.fennemorelaw.com/time-does-not-run-against-the-king-arizona-supreme-court-confirms-government-entity-plaintiffs-are-not-bound-by-a-r-s-%c2%a7-12-821s-one-year-statute-of-limitati/" TargetMode="External"/><Relationship Id="rId12" Type="http://schemas.openxmlformats.org/officeDocument/2006/relationships/hyperlink" Target="https://www.fennemorelaw.com/treasury-suspends-enforcement-of-corporate-transparency-act-proposes-narrowed-scope/" TargetMode="External"/><Relationship Id="rId13" Type="http://schemas.openxmlformats.org/officeDocument/2006/relationships/hyperlink" Target="https://www.bizjournals.com/phoenix/news/2025/03/01/wire-hacking-schemes-prevention-businesses.html" TargetMode="External"/><Relationship Id="rId14" Type="http://schemas.openxmlformats.org/officeDocument/2006/relationships/hyperlink" Target="https://www.fennemorelaw.com/client-alert-corporate-transparency-act-compliance-new-filing-deadline-compliance-tool/" TargetMode="External"/><Relationship Id="rId15" Type="http://schemas.openxmlformats.org/officeDocument/2006/relationships/hyperlink" Target="https://www.kjzz.org/tribal-natural-resources/2025-02-10/arizona-ranchers-appeal-water-rights-case-involving-gila-river-indian-community" TargetMode="External"/><Relationship Id="rId16" Type="http://schemas.openxmlformats.org/officeDocument/2006/relationships/hyperlink" Target="https://www.fennemorelaw.com/nationwide-injunction-temporarily-halts-corporate-transparency-act-boir-filing-requirementswhat-you-need-to-know/" TargetMode="External"/><Relationship Id="rId17" Type="http://schemas.openxmlformats.org/officeDocument/2006/relationships/hyperlink" Target="https://inbusinessphx.com/government-compliance/their-take-merit-selection-a-respected-arizona-system-of-judge-selection-worth-preserving" TargetMode="External"/><Relationship Id="rId18" Type="http://schemas.openxmlformats.org/officeDocument/2006/relationships/hyperlink" Target="https://www.fennemorelaw.com/wp-content/uploads/2023/12/Corporate-Formation-Filings-and-Deadlines-Fennemore-Notice-to-Clients-re-CTA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Timothy J. Berg - Fennemore</dc:title>
  <dcterms:created xsi:type="dcterms:W3CDTF">2026-10-05T13:17:58Z</dcterms:created>
  <dcterms:modified xsi:type="dcterms:W3CDTF">2026-10-05T13:17:58Z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m153</vt:lpwstr>
  </property>
</Properties>
</file>