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23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-2956956</wp:posOffset>
                </wp:positionV>
                <wp:extent cx="6071870" cy="2888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Alicia Ashcraft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503434" y="1369338"/>
                            <a:ext cx="210312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320675">
                                <a:moveTo>
                                  <a:pt x="2103094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2103094" y="320382"/>
                                </a:lnTo>
                                <a:lnTo>
                                  <a:pt x="2103094" y="315214"/>
                                </a:lnTo>
                                <a:close/>
                              </a:path>
                              <a:path w="2103120" h="320675">
                                <a:moveTo>
                                  <a:pt x="21030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03094" y="5168"/>
                                </a:lnTo>
                                <a:lnTo>
                                  <a:pt x="2103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502711" y="763308"/>
                            <a:ext cx="211518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ALICIA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ASHCRAFT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05339" y="1859626"/>
                            <a:ext cx="5099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Las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Vegas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6518" y="201978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46660" y="201978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72380" y="2226505"/>
                            <a:ext cx="15754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aashcraft@fennemorelaw.com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32.831253pt;width:478.1pt;height:227.45pt;mso-position-horizontal-relative:page;mso-position-vertical-relative:paragraph;z-index:15728640" id="docshapegroup1" coordorigin="1336,-4657" coordsize="9562,4549">
                <v:shape style="position:absolute;left:1336;top:-4657;width:2165;height:424" type="#_x0000_t75" id="docshape2" alt="Fennemore" href="https://www.fennemorelaw.com/" stroked="false">
                  <v:imagedata r:id="rId5" o:title=""/>
                </v:shape>
                <v:shape style="position:absolute;left:1336;top:-4234;width:4785;height:4126" type="#_x0000_t75" id="docshape3" alt="Alicia Ashcraft bio" stroked="false">
                  <v:imagedata r:id="rId7" o:title=""/>
                </v:shape>
                <v:rect style="position:absolute;left:6121;top:-4234;width:4777;height:4126" id="docshape4" filled="true" fillcolor="#262424" stroked="false">
                  <v:fill type="solid"/>
                </v:rect>
                <v:shape style="position:absolute;left:6853;top:-2501;width:3312;height:505" id="docshape5" coordorigin="6853,-2500" coordsize="3312,505" path="m10165,-2004l6853,-2004,6853,-1996,10165,-1996,10165,-2004xm10165,-2500l6853,-2500,6853,-2492,10165,-2492,10165,-250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852;top:-3455;width:3331;height:1300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ALICIA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ASHCRAFT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16;top:-1729;width:803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Las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Vegas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84;top:-1476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702.692.8040</w:t>
                        </w:r>
                      </w:p>
                    </w:txbxContent>
                  </v:textbox>
                  <w10:wrap type="none"/>
                </v:shape>
                <v:shape style="position:absolute;left:8811;top:-1476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702.692.8099</w:t>
                        </w:r>
                      </w:p>
                    </w:txbxContent>
                  </v:textbox>
                  <w10:wrap type="none"/>
                </v:shape>
                <v:shape style="position:absolute;left:7276;top:-1151;width:2481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aashcraft@fennemorelaw.com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ALICIA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ASHCRAFT</w:t>
      </w:r>
    </w:p>
    <w:p>
      <w:pPr>
        <w:pStyle w:val="BodyText"/>
        <w:spacing w:line="302" w:lineRule="auto" w:before="147"/>
        <w:ind w:right="358"/>
      </w:pPr>
      <w:r>
        <w:rPr>
          <w:color w:val="6E6158"/>
        </w:rPr>
        <w:t>Alicia R. Ashcraft is a Fennemore Director in Las Vegas who advises businesses on administrative</w:t>
      </w:r>
      <w:r>
        <w:rPr>
          <w:color w:val="6E6158"/>
          <w:spacing w:val="40"/>
        </w:rPr>
        <w:t> </w:t>
      </w:r>
      <w:r>
        <w:rPr>
          <w:color w:val="6E6158"/>
        </w:rPr>
        <w:t>law,</w:t>
      </w:r>
      <w:r>
        <w:rPr>
          <w:color w:val="6E6158"/>
          <w:spacing w:val="40"/>
        </w:rPr>
        <w:t> </w:t>
      </w:r>
      <w:r>
        <w:rPr>
          <w:color w:val="6E6158"/>
        </w:rPr>
        <w:t>regulatory</w:t>
      </w:r>
      <w:r>
        <w:rPr>
          <w:color w:val="6E6158"/>
          <w:spacing w:val="40"/>
        </w:rPr>
        <w:t> </w:t>
      </w:r>
      <w:r>
        <w:rPr>
          <w:color w:val="6E6158"/>
        </w:rPr>
        <w:t>compliance,</w:t>
      </w:r>
      <w:r>
        <w:rPr>
          <w:color w:val="6E6158"/>
          <w:spacing w:val="40"/>
        </w:rPr>
        <w:t> </w:t>
      </w:r>
      <w:r>
        <w:rPr>
          <w:color w:val="6E6158"/>
        </w:rPr>
        <w:t>licensing,</w:t>
      </w:r>
      <w:r>
        <w:rPr>
          <w:color w:val="6E6158"/>
          <w:spacing w:val="40"/>
        </w:rPr>
        <w:t> </w:t>
      </w:r>
      <w:r>
        <w:rPr>
          <w:color w:val="6E6158"/>
        </w:rPr>
        <w:t>mergers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acquisitions,</w:t>
      </w:r>
      <w:r>
        <w:rPr>
          <w:color w:val="6E6158"/>
          <w:spacing w:val="40"/>
        </w:rPr>
        <w:t> </w:t>
      </w:r>
      <w:r>
        <w:rPr>
          <w:color w:val="6E6158"/>
        </w:rPr>
        <w:t>corporate</w:t>
      </w:r>
      <w:r>
        <w:rPr>
          <w:color w:val="6E6158"/>
          <w:spacing w:val="40"/>
        </w:rPr>
        <w:t> </w:t>
      </w:r>
      <w:r>
        <w:rPr>
          <w:color w:val="6E6158"/>
        </w:rPr>
        <w:t>transactions,</w:t>
      </w:r>
      <w:r>
        <w:rPr>
          <w:color w:val="6E6158"/>
          <w:spacing w:val="40"/>
        </w:rPr>
        <w:t> </w:t>
      </w:r>
      <w:r>
        <w:rPr>
          <w:color w:val="6E6158"/>
        </w:rPr>
        <w:t>real</w:t>
      </w:r>
    </w:p>
    <w:p>
      <w:pPr>
        <w:pStyle w:val="BodyText"/>
        <w:spacing w:line="224" w:lineRule="exact"/>
      </w:pPr>
      <w:r>
        <w:rPr>
          <w:color w:val="6E6158"/>
        </w:rPr>
        <w:t>estate,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land</w:t>
      </w:r>
      <w:r>
        <w:rPr>
          <w:color w:val="6E6158"/>
          <w:spacing w:val="13"/>
        </w:rPr>
        <w:t> </w:t>
      </w:r>
      <w:r>
        <w:rPr>
          <w:color w:val="6E6158"/>
        </w:rPr>
        <w:t>use.</w:t>
      </w:r>
      <w:r>
        <w:rPr>
          <w:color w:val="6E6158"/>
          <w:spacing w:val="12"/>
        </w:rPr>
        <w:t> </w:t>
      </w:r>
      <w:r>
        <w:rPr>
          <w:color w:val="6E6158"/>
        </w:rPr>
        <w:t>She</w:t>
      </w:r>
      <w:r>
        <w:rPr>
          <w:color w:val="6E6158"/>
          <w:spacing w:val="12"/>
        </w:rPr>
        <w:t> </w:t>
      </w:r>
      <w:r>
        <w:rPr>
          <w:color w:val="6E6158"/>
        </w:rPr>
        <w:t>represents</w:t>
      </w:r>
      <w:r>
        <w:rPr>
          <w:color w:val="6E6158"/>
          <w:spacing w:val="13"/>
        </w:rPr>
        <w:t> </w:t>
      </w:r>
      <w:r>
        <w:rPr>
          <w:color w:val="6E6158"/>
        </w:rPr>
        <w:t>clients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highly</w:t>
      </w:r>
      <w:r>
        <w:rPr>
          <w:color w:val="6E6158"/>
          <w:spacing w:val="13"/>
        </w:rPr>
        <w:t> </w:t>
      </w:r>
      <w:r>
        <w:rPr>
          <w:color w:val="6E6158"/>
        </w:rPr>
        <w:t>regulated</w:t>
      </w:r>
      <w:r>
        <w:rPr>
          <w:color w:val="6E6158"/>
          <w:spacing w:val="12"/>
        </w:rPr>
        <w:t> </w:t>
      </w:r>
      <w:r>
        <w:rPr>
          <w:color w:val="6E6158"/>
        </w:rPr>
        <w:t>industries,</w:t>
      </w:r>
      <w:r>
        <w:rPr>
          <w:color w:val="6E6158"/>
          <w:spacing w:val="12"/>
        </w:rPr>
        <w:t> </w:t>
      </w:r>
      <w:r>
        <w:rPr>
          <w:color w:val="6E6158"/>
        </w:rPr>
        <w:t>including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gaming,</w:t>
      </w:r>
    </w:p>
    <w:p>
      <w:pPr>
        <w:pStyle w:val="BodyText"/>
        <w:spacing w:line="302" w:lineRule="auto" w:before="52"/>
        <w:ind w:right="358"/>
      </w:pPr>
      <w:r>
        <w:rPr>
          <w:color w:val="6E6158"/>
        </w:rPr>
        <w:t>cannabis, alcohol and transportation, and serves as outside general counsel on a broad </w:t>
      </w:r>
      <w:r>
        <w:rPr>
          <w:color w:val="6E6158"/>
        </w:rPr>
        <w:t>range</w:t>
      </w:r>
      <w:r>
        <w:rPr>
          <w:color w:val="6E6158"/>
          <w:spacing w:val="80"/>
        </w:rPr>
        <w:t> </w:t>
      </w:r>
      <w:r>
        <w:rPr>
          <w:color w:val="6E6158"/>
        </w:rPr>
        <w:t>of business matters.</w:t>
      </w:r>
    </w:p>
    <w:p>
      <w:pPr>
        <w:pStyle w:val="BodyText"/>
        <w:spacing w:line="292" w:lineRule="auto" w:before="186"/>
        <w:ind w:right="260"/>
      </w:pPr>
      <w:r>
        <w:rPr>
          <w:color w:val="6E6158"/>
        </w:rPr>
        <w:t>With over 13 years of experience in the cannabis industry, Alicia represents multistate </w:t>
      </w:r>
      <w:r>
        <w:rPr>
          <w:color w:val="6E6158"/>
        </w:rPr>
        <w:t>operators,</w:t>
      </w:r>
      <w:r>
        <w:rPr>
          <w:color w:val="6E6158"/>
          <w:spacing w:val="40"/>
        </w:rPr>
        <w:t> </w:t>
      </w:r>
      <w:r>
        <w:rPr>
          <w:color w:val="6E6158"/>
        </w:rPr>
        <w:t>dispensaries,</w:t>
      </w:r>
      <w:r>
        <w:rPr>
          <w:color w:val="6E6158"/>
          <w:spacing w:val="80"/>
        </w:rPr>
        <w:t> </w:t>
      </w:r>
      <w:r>
        <w:rPr>
          <w:color w:val="6E6158"/>
        </w:rPr>
        <w:t>producers,</w:t>
      </w:r>
      <w:r>
        <w:rPr>
          <w:color w:val="6E6158"/>
          <w:spacing w:val="80"/>
        </w:rPr>
        <w:t> </w:t>
      </w:r>
      <w:r>
        <w:rPr>
          <w:color w:val="6E6158"/>
        </w:rPr>
        <w:t>cultivators, investors, lenders, landlords, tenants, and vendors, and assists</w:t>
      </w:r>
      <w:r>
        <w:rPr>
          <w:color w:val="6E6158"/>
          <w:spacing w:val="35"/>
        </w:rPr>
        <w:t> </w:t>
      </w:r>
      <w:r>
        <w:rPr>
          <w:color w:val="6E6158"/>
        </w:rPr>
        <w:t>them</w:t>
      </w:r>
      <w:r>
        <w:rPr>
          <w:color w:val="6E6158"/>
          <w:spacing w:val="35"/>
        </w:rPr>
        <w:t> </w:t>
      </w:r>
      <w:r>
        <w:rPr>
          <w:color w:val="6E6158"/>
        </w:rPr>
        <w:t>with</w:t>
      </w:r>
      <w:r>
        <w:rPr>
          <w:color w:val="6E6158"/>
          <w:spacing w:val="35"/>
        </w:rPr>
        <w:t> </w:t>
      </w:r>
      <w:r>
        <w:rPr>
          <w:color w:val="6E6158"/>
        </w:rPr>
        <w:t>strategic</w:t>
      </w:r>
      <w:r>
        <w:rPr>
          <w:color w:val="6E6158"/>
          <w:spacing w:val="35"/>
        </w:rPr>
        <w:t> </w:t>
      </w:r>
      <w:r>
        <w:rPr>
          <w:color w:val="6E6158"/>
        </w:rPr>
        <w:t>acquisitions,</w:t>
      </w:r>
      <w:r>
        <w:rPr>
          <w:color w:val="6E6158"/>
          <w:spacing w:val="35"/>
        </w:rPr>
        <w:t> </w:t>
      </w:r>
      <w:r>
        <w:rPr>
          <w:color w:val="6E6158"/>
        </w:rPr>
        <w:t>commercial</w:t>
      </w:r>
      <w:r>
        <w:rPr>
          <w:color w:val="6E6158"/>
          <w:spacing w:val="35"/>
        </w:rPr>
        <w:t> </w:t>
      </w:r>
      <w:r>
        <w:rPr>
          <w:color w:val="6E6158"/>
        </w:rPr>
        <w:t>transactions,</w:t>
      </w:r>
      <w:r>
        <w:rPr>
          <w:color w:val="6E6158"/>
          <w:spacing w:val="35"/>
        </w:rPr>
        <w:t> </w:t>
      </w:r>
      <w:r>
        <w:rPr>
          <w:color w:val="6E6158"/>
        </w:rPr>
        <w:t>real</w:t>
      </w:r>
      <w:r>
        <w:rPr>
          <w:color w:val="6E6158"/>
          <w:spacing w:val="35"/>
        </w:rPr>
        <w:t> </w:t>
      </w:r>
      <w:r>
        <w:rPr>
          <w:color w:val="6E6158"/>
        </w:rPr>
        <w:t>estate</w:t>
      </w:r>
      <w:r>
        <w:rPr>
          <w:color w:val="6E6158"/>
          <w:spacing w:val="35"/>
        </w:rPr>
        <w:t> </w:t>
      </w:r>
      <w:r>
        <w:rPr>
          <w:color w:val="6E6158"/>
        </w:rPr>
        <w:t>matters,</w:t>
      </w:r>
      <w:r>
        <w:rPr>
          <w:color w:val="6E6158"/>
          <w:spacing w:val="35"/>
        </w:rPr>
        <w:t> </w:t>
      </w:r>
      <w:r>
        <w:rPr>
          <w:color w:val="6E6158"/>
        </w:rPr>
        <w:t>land</w:t>
      </w:r>
      <w:r>
        <w:rPr>
          <w:color w:val="6E6158"/>
          <w:spacing w:val="35"/>
        </w:rPr>
        <w:t> </w:t>
      </w:r>
      <w:r>
        <w:rPr>
          <w:color w:val="6E6158"/>
        </w:rPr>
        <w:t>use</w:t>
      </w:r>
    </w:p>
    <w:p>
      <w:pPr>
        <w:pStyle w:val="BodyText"/>
        <w:spacing w:line="292" w:lineRule="auto" w:before="10"/>
        <w:ind w:right="183"/>
      </w:pPr>
      <w:r>
        <w:rPr>
          <w:color w:val="6E6158"/>
        </w:rPr>
        <w:t>entitlements, reorganization, and corporate governance. She also advises businesses </w:t>
      </w:r>
      <w:r>
        <w:rPr>
          <w:color w:val="6E6158"/>
        </w:rPr>
        <w:t>responding</w:t>
      </w:r>
      <w:r>
        <w:rPr>
          <w:color w:val="6E6158"/>
          <w:spacing w:val="80"/>
        </w:rPr>
        <w:t> </w:t>
      </w:r>
      <w:r>
        <w:rPr>
          <w:color w:val="6E6158"/>
        </w:rPr>
        <w:t>to regulatory compliance audits and disciplinary actions, provides compliance training, and</w:t>
      </w:r>
      <w:r>
        <w:rPr>
          <w:color w:val="6E6158"/>
          <w:spacing w:val="40"/>
        </w:rPr>
        <w:t> </w:t>
      </w:r>
      <w:r>
        <w:rPr>
          <w:color w:val="6E6158"/>
        </w:rPr>
        <w:t>represents</w:t>
      </w:r>
      <w:r>
        <w:rPr>
          <w:color w:val="6E6158"/>
          <w:spacing w:val="40"/>
        </w:rPr>
        <w:t> </w:t>
      </w:r>
      <w:r>
        <w:rPr>
          <w:color w:val="6E6158"/>
        </w:rPr>
        <w:t>clients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licensing</w:t>
      </w:r>
      <w:r>
        <w:rPr>
          <w:color w:val="6E6158"/>
          <w:spacing w:val="40"/>
        </w:rPr>
        <w:t> </w:t>
      </w:r>
      <w:r>
        <w:rPr>
          <w:color w:val="6E6158"/>
        </w:rPr>
        <w:t>applications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proceedings</w:t>
      </w:r>
      <w:r>
        <w:rPr>
          <w:color w:val="6E6158"/>
          <w:spacing w:val="40"/>
        </w:rPr>
        <w:t> </w:t>
      </w:r>
      <w:r>
        <w:rPr>
          <w:color w:val="6E6158"/>
        </w:rPr>
        <w:t>before</w:t>
      </w:r>
      <w:r>
        <w:rPr>
          <w:color w:val="6E6158"/>
          <w:spacing w:val="40"/>
        </w:rPr>
        <w:t> </w:t>
      </w:r>
      <w:r>
        <w:rPr>
          <w:color w:val="6E6158"/>
        </w:rPr>
        <w:t>Nevada</w:t>
      </w:r>
      <w:r>
        <w:rPr>
          <w:color w:val="6E6158"/>
          <w:spacing w:val="40"/>
        </w:rPr>
        <w:t> </w:t>
      </w:r>
      <w:r>
        <w:rPr>
          <w:color w:val="6E6158"/>
        </w:rPr>
        <w:t>administrative</w:t>
      </w:r>
    </w:p>
    <w:p>
      <w:pPr>
        <w:pStyle w:val="BodyText"/>
        <w:spacing w:before="2"/>
      </w:pPr>
      <w:r>
        <w:rPr>
          <w:color w:val="6E6158"/>
        </w:rPr>
        <w:t>agencies,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local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governments.</w:t>
      </w:r>
    </w:p>
    <w:p>
      <w:pPr>
        <w:pStyle w:val="BodyText"/>
        <w:spacing w:before="22"/>
        <w:ind w:left="0"/>
      </w:pPr>
    </w:p>
    <w:p>
      <w:pPr>
        <w:pStyle w:val="BodyText"/>
        <w:spacing w:line="292" w:lineRule="auto"/>
        <w:ind w:right="183"/>
      </w:pPr>
      <w:r>
        <w:rPr>
          <w:color w:val="6E6158"/>
        </w:rPr>
        <w:t>Her regulatory and licensing experience includes matters before the Nevada Cannabis</w:t>
      </w:r>
      <w:r>
        <w:rPr>
          <w:color w:val="6E6158"/>
          <w:spacing w:val="40"/>
        </w:rPr>
        <w:t> </w:t>
      </w:r>
      <w:r>
        <w:rPr>
          <w:color w:val="6E6158"/>
        </w:rPr>
        <w:t>Compliance Board, Nevada Department of Taxation, Nevada Division of Public and Behavioral</w:t>
      </w:r>
      <w:r>
        <w:rPr>
          <w:color w:val="6E6158"/>
          <w:spacing w:val="40"/>
        </w:rPr>
        <w:t> </w:t>
      </w:r>
      <w:r>
        <w:rPr>
          <w:color w:val="6E6158"/>
        </w:rPr>
        <w:t>Health,</w:t>
      </w:r>
      <w:r>
        <w:rPr>
          <w:color w:val="6E6158"/>
          <w:spacing w:val="40"/>
        </w:rPr>
        <w:t> </w:t>
      </w:r>
      <w:r>
        <w:rPr>
          <w:color w:val="6E6158"/>
        </w:rPr>
        <w:t>Nevada</w:t>
      </w:r>
      <w:r>
        <w:rPr>
          <w:color w:val="6E6158"/>
          <w:spacing w:val="40"/>
        </w:rPr>
        <w:t> </w:t>
      </w:r>
      <w:r>
        <w:rPr>
          <w:color w:val="6E6158"/>
        </w:rPr>
        <w:t>Athletic</w:t>
      </w:r>
      <w:r>
        <w:rPr>
          <w:color w:val="6E6158"/>
          <w:spacing w:val="40"/>
        </w:rPr>
        <w:t> </w:t>
      </w:r>
      <w:r>
        <w:rPr>
          <w:color w:val="6E6158"/>
        </w:rPr>
        <w:t>Commission,</w:t>
      </w:r>
      <w:r>
        <w:rPr>
          <w:color w:val="6E6158"/>
          <w:spacing w:val="40"/>
        </w:rPr>
        <w:t> </w:t>
      </w:r>
      <w:r>
        <w:rPr>
          <w:color w:val="6E6158"/>
        </w:rPr>
        <w:t>Nevada</w:t>
      </w:r>
      <w:r>
        <w:rPr>
          <w:color w:val="6E6158"/>
          <w:spacing w:val="40"/>
        </w:rPr>
        <w:t> </w:t>
      </w:r>
      <w:r>
        <w:rPr>
          <w:color w:val="6E6158"/>
        </w:rPr>
        <w:t>Transportation</w:t>
      </w:r>
      <w:r>
        <w:rPr>
          <w:color w:val="6E6158"/>
          <w:spacing w:val="40"/>
        </w:rPr>
        <w:t> </w:t>
      </w:r>
      <w:r>
        <w:rPr>
          <w:color w:val="6E6158"/>
        </w:rPr>
        <w:t>Authority,</w:t>
      </w:r>
      <w:r>
        <w:rPr>
          <w:color w:val="6E6158"/>
          <w:spacing w:val="40"/>
        </w:rPr>
        <w:t> </w:t>
      </w:r>
      <w:r>
        <w:rPr>
          <w:color w:val="6E6158"/>
        </w:rPr>
        <w:t>Nevada</w:t>
      </w:r>
      <w:r>
        <w:rPr>
          <w:color w:val="6E6158"/>
          <w:spacing w:val="40"/>
        </w:rPr>
        <w:t> </w:t>
      </w:r>
      <w:r>
        <w:rPr>
          <w:color w:val="6E6158"/>
        </w:rPr>
        <w:t>Gaming</w:t>
      </w:r>
    </w:p>
    <w:p>
      <w:pPr>
        <w:pStyle w:val="BodyText"/>
        <w:spacing w:line="302" w:lineRule="auto" w:before="2"/>
      </w:pPr>
      <w:r>
        <w:rPr>
          <w:color w:val="6E6158"/>
        </w:rPr>
        <w:t>Commission, Nevada Gaming Control Board and various municipal and county agencies. </w:t>
      </w:r>
      <w:r>
        <w:rPr>
          <w:color w:val="6E6158"/>
        </w:rPr>
        <w:t>Her</w:t>
      </w:r>
      <w:r>
        <w:rPr>
          <w:color w:val="6E6158"/>
          <w:spacing w:val="40"/>
        </w:rPr>
        <w:t> </w:t>
      </w:r>
      <w:r>
        <w:rPr>
          <w:color w:val="6E6158"/>
        </w:rPr>
        <w:t>background also includes business litigation, creditors’ rights, and bankruptcy.</w:t>
      </w:r>
    </w:p>
    <w:p>
      <w:pPr>
        <w:pStyle w:val="Heading1"/>
        <w:spacing w:before="152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ind w:left="0"/>
        <w:rPr>
          <w:b/>
        </w:rPr>
      </w:pPr>
    </w:p>
    <w:p>
      <w:pPr>
        <w:pStyle w:val="BodyText"/>
        <w:rPr>
          <w:i/>
          <w:sz w:val="20"/>
        </w:rPr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Seattle</w:t>
      </w:r>
      <w:r>
        <w:rPr>
          <w:color w:val="6E6158"/>
          <w:spacing w:val="7"/>
        </w:rPr>
        <w:t> </w:t>
      </w:r>
      <w:r>
        <w:rPr>
          <w:color w:val="6E6158"/>
        </w:rPr>
        <w:t>University</w:t>
      </w:r>
      <w:r>
        <w:rPr>
          <w:color w:val="6E6158"/>
          <w:spacing w:val="8"/>
        </w:rPr>
        <w:t> </w:t>
      </w:r>
      <w:r>
        <w:rPr>
          <w:color w:val="6E6158"/>
        </w:rPr>
        <w:t>School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Law,</w:t>
      </w:r>
      <w:r>
        <w:rPr>
          <w:color w:val="6E6158"/>
          <w:spacing w:val="8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spacing w:before="16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Greenville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College,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69"/>
        <w:ind w:left="0"/>
        <w:rPr>
          <w:i/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 w:before="1"/>
        <w:ind w:right="7139"/>
      </w:pPr>
      <w:r>
        <w:rPr>
          <w:color w:val="6E6158"/>
        </w:rPr>
        <w:t>Business &amp; Finance Cannabis Business Food &amp; Beverage Gaming &amp; Hospitality Mergers &amp; </w:t>
      </w:r>
      <w:r>
        <w:rPr>
          <w:color w:val="6E6158"/>
        </w:rPr>
        <w:t>Acquisitions</w:t>
      </w:r>
    </w:p>
    <w:p>
      <w:pPr>
        <w:pStyle w:val="BodyText"/>
        <w:spacing w:after="0" w:line="42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420" w:lineRule="auto" w:before="83"/>
        <w:ind w:right="8036"/>
      </w:pPr>
      <w:r>
        <w:rPr>
          <w:color w:val="6E6158"/>
        </w:rPr>
        <w:t>Land Use Real</w:t>
      </w:r>
      <w:r>
        <w:rPr>
          <w:color w:val="6E6158"/>
          <w:spacing w:val="-10"/>
        </w:rPr>
        <w:t> </w:t>
      </w:r>
      <w:r>
        <w:rPr>
          <w:color w:val="6E6158"/>
        </w:rPr>
        <w:t>Estate</w:t>
      </w:r>
    </w:p>
    <w:p>
      <w:pPr>
        <w:pStyle w:val="BodyText"/>
        <w:spacing w:before="7"/>
      </w:pPr>
      <w:r>
        <w:rPr>
          <w:color w:val="6E6158"/>
        </w:rPr>
        <w:t>General</w:t>
      </w:r>
      <w:r>
        <w:rPr>
          <w:color w:val="6E6158"/>
          <w:spacing w:val="16"/>
        </w:rPr>
        <w:t> </w:t>
      </w:r>
      <w:r>
        <w:rPr>
          <w:color w:val="6E6158"/>
        </w:rPr>
        <w:t>Counsel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Services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358"/>
      </w:pPr>
      <w:r>
        <w:rPr>
          <w:color w:val="6E6158"/>
        </w:rPr>
        <w:t>Represented multi-state operator in company restructuring, including state and </w:t>
      </w:r>
      <w:r>
        <w:rPr>
          <w:color w:val="6E6158"/>
        </w:rPr>
        <w:t>local government compliance for transfers of licenses and assets.</w:t>
      </w:r>
    </w:p>
    <w:p>
      <w:pPr>
        <w:pStyle w:val="BodyText"/>
        <w:spacing w:line="297" w:lineRule="auto" w:before="124"/>
        <w:ind w:right="358"/>
      </w:pPr>
      <w:r>
        <w:rPr>
          <w:color w:val="6E6158"/>
        </w:rPr>
        <w:t>Represented state-licensed company in bid process for cannabis licenses in state receivership,including as to acquisition mechanics, cannabis regulatory issues, </w:t>
      </w:r>
      <w:r>
        <w:rPr>
          <w:color w:val="6E6158"/>
        </w:rPr>
        <w:t>Cannabis Compliance Board transfers, and strategic planning.</w:t>
      </w:r>
    </w:p>
    <w:p>
      <w:pPr>
        <w:pStyle w:val="BodyText"/>
        <w:spacing w:before="118"/>
      </w:pPr>
      <w:r>
        <w:rPr>
          <w:color w:val="6E6158"/>
        </w:rPr>
        <w:t>Represented</w:t>
      </w:r>
      <w:r>
        <w:rPr>
          <w:color w:val="6E6158"/>
          <w:spacing w:val="16"/>
        </w:rPr>
        <w:t> </w:t>
      </w:r>
      <w:r>
        <w:rPr>
          <w:color w:val="6E6158"/>
        </w:rPr>
        <w:t>a</w:t>
      </w:r>
      <w:r>
        <w:rPr>
          <w:color w:val="6E6158"/>
          <w:spacing w:val="16"/>
        </w:rPr>
        <w:t> </w:t>
      </w:r>
      <w:r>
        <w:rPr>
          <w:color w:val="6E6158"/>
        </w:rPr>
        <w:t>vertically</w:t>
      </w:r>
      <w:r>
        <w:rPr>
          <w:color w:val="6E6158"/>
          <w:spacing w:val="16"/>
        </w:rPr>
        <w:t> </w:t>
      </w:r>
      <w:r>
        <w:rPr>
          <w:color w:val="6E6158"/>
        </w:rPr>
        <w:t>integrated</w:t>
      </w:r>
      <w:r>
        <w:rPr>
          <w:color w:val="6E6158"/>
          <w:spacing w:val="16"/>
        </w:rPr>
        <w:t> </w:t>
      </w:r>
      <w:r>
        <w:rPr>
          <w:color w:val="6E6158"/>
        </w:rPr>
        <w:t>cannabis</w:t>
      </w:r>
      <w:r>
        <w:rPr>
          <w:color w:val="6E6158"/>
          <w:spacing w:val="16"/>
        </w:rPr>
        <w:t> </w:t>
      </w:r>
      <w:r>
        <w:rPr>
          <w:color w:val="6E6158"/>
        </w:rPr>
        <w:t>operator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7"/>
        </w:rPr>
        <w:t> </w:t>
      </w:r>
      <w:r>
        <w:rPr>
          <w:color w:val="6E6158"/>
        </w:rPr>
        <w:t>negotiating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documenting</w:t>
      </w:r>
      <w:r>
        <w:rPr>
          <w:color w:val="6E6158"/>
          <w:spacing w:val="16"/>
        </w:rPr>
        <w:t> </w:t>
      </w:r>
      <w:r>
        <w:rPr>
          <w:color w:val="6E6158"/>
          <w:spacing w:val="-10"/>
        </w:rPr>
        <w:t>a</w:t>
      </w:r>
    </w:p>
    <w:p>
      <w:pPr>
        <w:pStyle w:val="BodyText"/>
        <w:spacing w:line="297" w:lineRule="auto" w:before="52"/>
      </w:pPr>
      <w:r>
        <w:rPr>
          <w:color w:val="6E6158"/>
        </w:rPr>
        <w:t>complex commercial transaction to transfer a dispensary/retail store and related assets, while</w:t>
      </w:r>
      <w:r>
        <w:rPr>
          <w:color w:val="6E6158"/>
          <w:spacing w:val="40"/>
        </w:rPr>
        <w:t> </w:t>
      </w:r>
      <w:r>
        <w:rPr>
          <w:color w:val="6E6158"/>
        </w:rPr>
        <w:t>restructuring company to complete transaction without disruption to facility operations </w:t>
      </w:r>
      <w:r>
        <w:rPr>
          <w:color w:val="6E6158"/>
        </w:rPr>
        <w:t>including</w:t>
      </w:r>
      <w:r>
        <w:rPr>
          <w:color w:val="6E6158"/>
          <w:spacing w:val="40"/>
        </w:rPr>
        <w:t> </w:t>
      </w:r>
      <w:r>
        <w:rPr>
          <w:color w:val="6E6158"/>
        </w:rPr>
        <w:t>maintaining cultivation and production operations.</w:t>
      </w:r>
    </w:p>
    <w:p>
      <w:pPr>
        <w:pStyle w:val="BodyText"/>
        <w:spacing w:line="302" w:lineRule="auto" w:before="118"/>
      </w:pPr>
      <w:r>
        <w:rPr>
          <w:color w:val="6E6158"/>
        </w:rPr>
        <w:t>Represented various Nevada cannabis companies with respect to initial public offerings, </w:t>
      </w:r>
      <w:r>
        <w:rPr>
          <w:color w:val="6E6158"/>
        </w:rPr>
        <w:t>private</w:t>
      </w:r>
      <w:r>
        <w:rPr>
          <w:color w:val="6E6158"/>
          <w:spacing w:val="40"/>
        </w:rPr>
        <w:t> </w:t>
      </w:r>
      <w:r>
        <w:rPr>
          <w:color w:val="6E6158"/>
        </w:rPr>
        <w:t>offerings, mergers, and strategic business relationships.</w:t>
      </w:r>
    </w:p>
    <w:p>
      <w:pPr>
        <w:pStyle w:val="BodyText"/>
        <w:spacing w:line="292" w:lineRule="auto" w:before="112"/>
        <w:ind w:right="358"/>
      </w:pPr>
      <w:r>
        <w:rPr>
          <w:color w:val="6E6158"/>
        </w:rPr>
        <w:t>Represented various cannabis companies in preparing and negotiating complex </w:t>
      </w:r>
      <w:r>
        <w:rPr>
          <w:color w:val="6E6158"/>
        </w:rPr>
        <w:t>commercial</w:t>
      </w:r>
      <w:r>
        <w:rPr>
          <w:color w:val="6E6158"/>
          <w:spacing w:val="40"/>
        </w:rPr>
        <w:t> </w:t>
      </w:r>
      <w:r>
        <w:rPr>
          <w:color w:val="6E6158"/>
        </w:rPr>
        <w:t>leases, loans, partnership agreements, and vendor contracts for businesses in the Nevada</w:t>
      </w:r>
      <w:r>
        <w:rPr>
          <w:color w:val="6E6158"/>
          <w:spacing w:val="40"/>
        </w:rPr>
        <w:t> </w:t>
      </w:r>
      <w:r>
        <w:rPr>
          <w:color w:val="6E6158"/>
        </w:rPr>
        <w:t>cannabis market.</w:t>
      </w:r>
    </w:p>
    <w:p>
      <w:pPr>
        <w:pStyle w:val="BodyText"/>
        <w:spacing w:line="292" w:lineRule="auto" w:before="133"/>
      </w:pPr>
      <w:r>
        <w:rPr>
          <w:color w:val="6E6158"/>
        </w:rPr>
        <w:t>Represented a hemp/CBD products distributor as to state and local government </w:t>
      </w:r>
      <w:r>
        <w:rPr>
          <w:color w:val="6E6158"/>
        </w:rPr>
        <w:t>regulatory</w:t>
      </w:r>
      <w:r>
        <w:rPr>
          <w:color w:val="6E6158"/>
          <w:spacing w:val="40"/>
        </w:rPr>
        <w:t> </w:t>
      </w:r>
      <w:r>
        <w:rPr>
          <w:color w:val="6E6158"/>
        </w:rPr>
        <w:t>compliance and licensing considerations, including application to Nevada Department of</w:t>
      </w:r>
      <w:r>
        <w:rPr>
          <w:color w:val="6E6158"/>
          <w:spacing w:val="40"/>
        </w:rPr>
        <w:t> </w:t>
      </w:r>
      <w:r>
        <w:rPr>
          <w:color w:val="6E6158"/>
        </w:rPr>
        <w:t>Agriculture for issuance of industrial hemp handlers certificate.</w:t>
      </w:r>
    </w:p>
    <w:p>
      <w:pPr>
        <w:pStyle w:val="BodyText"/>
        <w:spacing w:line="297" w:lineRule="auto" w:before="123"/>
      </w:pPr>
      <w:r>
        <w:rPr>
          <w:color w:val="6E6158"/>
        </w:rPr>
        <w:t>Represented receiver appointed over a cannabis cultivation and production establishment,</w:t>
      </w:r>
      <w:r>
        <w:rPr>
          <w:color w:val="6E6158"/>
          <w:spacing w:val="40"/>
        </w:rPr>
        <w:t> </w:t>
      </w:r>
      <w:r>
        <w:rPr>
          <w:color w:val="6E6158"/>
        </w:rPr>
        <w:t>including approval by Nevada Cannabis Compliance Board, following insolvency </w:t>
      </w:r>
      <w:r>
        <w:rPr>
          <w:color w:val="6E6158"/>
        </w:rPr>
        <w:t>proceedings</w:t>
      </w:r>
      <w:r>
        <w:rPr>
          <w:color w:val="6E6158"/>
          <w:spacing w:val="40"/>
        </w:rPr>
        <w:t> </w:t>
      </w:r>
      <w:r>
        <w:rPr>
          <w:color w:val="6E6158"/>
        </w:rPr>
        <w:t>initiated by creditors.</w:t>
      </w:r>
    </w:p>
    <w:p>
      <w:pPr>
        <w:pStyle w:val="BodyText"/>
        <w:spacing w:line="292" w:lineRule="auto" w:before="118"/>
      </w:pPr>
      <w:r>
        <w:rPr>
          <w:color w:val="6E6158"/>
        </w:rPr>
        <w:t>Represented cannabis and hemp companies in developing strategy for intellectual </w:t>
      </w:r>
      <w:r>
        <w:rPr>
          <w:color w:val="6E6158"/>
        </w:rPr>
        <w:t>property</w:t>
      </w:r>
      <w:r>
        <w:rPr>
          <w:color w:val="6E6158"/>
          <w:spacing w:val="40"/>
        </w:rPr>
        <w:t> </w:t>
      </w:r>
      <w:r>
        <w:rPr>
          <w:color w:val="6E6158"/>
        </w:rPr>
        <w:t>(trademark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trade</w:t>
      </w:r>
      <w:r>
        <w:rPr>
          <w:color w:val="6E6158"/>
          <w:spacing w:val="33"/>
        </w:rPr>
        <w:t> </w:t>
      </w:r>
      <w:r>
        <w:rPr>
          <w:color w:val="6E6158"/>
        </w:rPr>
        <w:t>name)</w:t>
      </w:r>
      <w:r>
        <w:rPr>
          <w:color w:val="6E6158"/>
          <w:spacing w:val="33"/>
        </w:rPr>
        <w:t> </w:t>
      </w:r>
      <w:r>
        <w:rPr>
          <w:color w:val="6E6158"/>
        </w:rPr>
        <w:t>protection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filing</w:t>
      </w:r>
      <w:r>
        <w:rPr>
          <w:color w:val="6E6158"/>
          <w:spacing w:val="33"/>
        </w:rPr>
        <w:t> </w:t>
      </w:r>
      <w:r>
        <w:rPr>
          <w:color w:val="6E6158"/>
        </w:rPr>
        <w:t>for</w:t>
      </w:r>
      <w:r>
        <w:rPr>
          <w:color w:val="6E6158"/>
          <w:spacing w:val="33"/>
        </w:rPr>
        <w:t> </w:t>
      </w:r>
      <w:r>
        <w:rPr>
          <w:color w:val="6E6158"/>
        </w:rPr>
        <w:t>state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federal</w:t>
      </w:r>
      <w:r>
        <w:rPr>
          <w:color w:val="6E6158"/>
          <w:spacing w:val="33"/>
        </w:rPr>
        <w:t> </w:t>
      </w:r>
      <w:r>
        <w:rPr>
          <w:color w:val="6E6158"/>
        </w:rPr>
        <w:t>registrations.</w:t>
      </w:r>
    </w:p>
    <w:p>
      <w:pPr>
        <w:pStyle w:val="BodyText"/>
        <w:spacing w:line="292" w:lineRule="auto" w:before="132"/>
        <w:ind w:right="497"/>
      </w:pPr>
      <w:r>
        <w:rPr>
          <w:color w:val="6E6158"/>
        </w:rPr>
        <w:t>Successfully represented various in-state and out-of-state companies in preparing </w:t>
      </w:r>
      <w:r>
        <w:rPr>
          <w:color w:val="6E6158"/>
        </w:rPr>
        <w:t>and submitting</w:t>
      </w:r>
      <w:r>
        <w:rPr>
          <w:color w:val="6E6158"/>
          <w:spacing w:val="28"/>
        </w:rPr>
        <w:t> </w:t>
      </w:r>
      <w:r>
        <w:rPr>
          <w:color w:val="6E6158"/>
        </w:rPr>
        <w:t>competitive</w:t>
      </w:r>
      <w:r>
        <w:rPr>
          <w:color w:val="6E6158"/>
          <w:spacing w:val="28"/>
        </w:rPr>
        <w:t> </w:t>
      </w:r>
      <w:r>
        <w:rPr>
          <w:color w:val="6E6158"/>
        </w:rPr>
        <w:t>licensing</w:t>
      </w:r>
      <w:r>
        <w:rPr>
          <w:color w:val="6E6158"/>
          <w:spacing w:val="28"/>
        </w:rPr>
        <w:t> </w:t>
      </w:r>
      <w:r>
        <w:rPr>
          <w:color w:val="6E6158"/>
        </w:rPr>
        <w:t>applications</w:t>
      </w:r>
      <w:r>
        <w:rPr>
          <w:color w:val="6E6158"/>
          <w:spacing w:val="28"/>
        </w:rPr>
        <w:t> </w:t>
      </w:r>
      <w:r>
        <w:rPr>
          <w:color w:val="6E6158"/>
        </w:rPr>
        <w:t>for</w:t>
      </w:r>
      <w:r>
        <w:rPr>
          <w:color w:val="6E6158"/>
          <w:spacing w:val="28"/>
        </w:rPr>
        <w:t> </w:t>
      </w:r>
      <w:r>
        <w:rPr>
          <w:color w:val="6E6158"/>
        </w:rPr>
        <w:t>initial</w:t>
      </w:r>
      <w:r>
        <w:rPr>
          <w:color w:val="6E6158"/>
          <w:spacing w:val="28"/>
        </w:rPr>
        <w:t> </w:t>
      </w:r>
      <w:r>
        <w:rPr>
          <w:color w:val="6E6158"/>
        </w:rPr>
        <w:t>issuance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medical</w:t>
      </w:r>
      <w:r>
        <w:rPr>
          <w:color w:val="6E6158"/>
          <w:spacing w:val="28"/>
        </w:rPr>
        <w:t> </w:t>
      </w:r>
      <w:r>
        <w:rPr>
          <w:color w:val="6E6158"/>
        </w:rPr>
        <w:t>marijuana</w:t>
      </w:r>
    </w:p>
    <w:p>
      <w:pPr>
        <w:pStyle w:val="BodyText"/>
        <w:spacing w:line="302" w:lineRule="auto" w:before="1"/>
        <w:ind w:right="168"/>
      </w:pPr>
      <w:r>
        <w:rPr>
          <w:color w:val="6E6158"/>
        </w:rPr>
        <w:t>establishment</w:t>
      </w:r>
      <w:r>
        <w:rPr>
          <w:color w:val="6E6158"/>
          <w:spacing w:val="16"/>
        </w:rPr>
        <w:t> </w:t>
      </w:r>
      <w:r>
        <w:rPr>
          <w:color w:val="6E6158"/>
        </w:rPr>
        <w:t>licenses</w:t>
      </w:r>
      <w:r>
        <w:rPr>
          <w:color w:val="6E6158"/>
          <w:spacing w:val="16"/>
        </w:rPr>
        <w:t> </w:t>
      </w:r>
      <w:r>
        <w:rPr>
          <w:color w:val="6E6158"/>
        </w:rPr>
        <w:t>(under</w:t>
      </w:r>
      <w:r>
        <w:rPr>
          <w:color w:val="6E6158"/>
          <w:spacing w:val="16"/>
        </w:rPr>
        <w:t> </w:t>
      </w:r>
      <w:r>
        <w:rPr>
          <w:color w:val="6E6158"/>
        </w:rPr>
        <w:t>Division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Public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Behavioral</w:t>
      </w:r>
      <w:r>
        <w:rPr>
          <w:color w:val="6E6158"/>
          <w:spacing w:val="16"/>
        </w:rPr>
        <w:t> </w:t>
      </w:r>
      <w:r>
        <w:rPr>
          <w:color w:val="6E6158"/>
        </w:rPr>
        <w:t>Health)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for</w:t>
      </w:r>
      <w:r>
        <w:rPr>
          <w:color w:val="6E6158"/>
          <w:spacing w:val="16"/>
        </w:rPr>
        <w:t> </w:t>
      </w:r>
      <w:r>
        <w:rPr>
          <w:color w:val="6E6158"/>
        </w:rPr>
        <w:t>issuance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adult-use marijuana establishment licenses (under Department of Taxation).</w:t>
      </w:r>
    </w:p>
    <w:p>
      <w:pPr>
        <w:pStyle w:val="BodyText"/>
        <w:spacing w:before="113"/>
      </w:pPr>
      <w:r>
        <w:rPr>
          <w:color w:val="6E6158"/>
        </w:rPr>
        <w:t>Represented</w:t>
      </w:r>
      <w:r>
        <w:rPr>
          <w:color w:val="6E6158"/>
          <w:spacing w:val="14"/>
        </w:rPr>
        <w:t> </w:t>
      </w:r>
      <w:r>
        <w:rPr>
          <w:color w:val="6E6158"/>
        </w:rPr>
        <w:t>lenders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finance</w:t>
      </w:r>
      <w:r>
        <w:rPr>
          <w:color w:val="6E6158"/>
          <w:spacing w:val="15"/>
        </w:rPr>
        <w:t> </w:t>
      </w:r>
      <w:r>
        <w:rPr>
          <w:color w:val="6E6158"/>
        </w:rPr>
        <w:t>companies</w:t>
      </w:r>
      <w:r>
        <w:rPr>
          <w:color w:val="6E6158"/>
          <w:spacing w:val="15"/>
        </w:rPr>
        <w:t> </w:t>
      </w:r>
      <w:r>
        <w:rPr>
          <w:color w:val="6E6158"/>
        </w:rPr>
        <w:t>in</w:t>
      </w:r>
      <w:r>
        <w:rPr>
          <w:color w:val="6E6158"/>
          <w:spacing w:val="15"/>
        </w:rPr>
        <w:t> </w:t>
      </w:r>
      <w:r>
        <w:rPr>
          <w:color w:val="6E6158"/>
        </w:rPr>
        <w:t>secured</w:t>
      </w:r>
      <w:r>
        <w:rPr>
          <w:color w:val="6E6158"/>
          <w:spacing w:val="15"/>
        </w:rPr>
        <w:t> </w:t>
      </w:r>
      <w:r>
        <w:rPr>
          <w:color w:val="6E6158"/>
        </w:rPr>
        <w:t>transactions</w:t>
      </w:r>
      <w:r>
        <w:rPr>
          <w:color w:val="6E6158"/>
          <w:spacing w:val="15"/>
        </w:rPr>
        <w:t> </w:t>
      </w:r>
      <w:r>
        <w:rPr>
          <w:color w:val="6E6158"/>
        </w:rPr>
        <w:t>including</w:t>
      </w:r>
      <w:r>
        <w:rPr>
          <w:color w:val="6E6158"/>
          <w:spacing w:val="15"/>
        </w:rPr>
        <w:t> </w:t>
      </w:r>
      <w:r>
        <w:rPr>
          <w:color w:val="6E6158"/>
        </w:rPr>
        <w:t>advising</w:t>
      </w:r>
      <w:r>
        <w:rPr>
          <w:color w:val="6E6158"/>
          <w:spacing w:val="15"/>
        </w:rPr>
        <w:t> </w:t>
      </w:r>
      <w:r>
        <w:rPr>
          <w:color w:val="6E6158"/>
        </w:rPr>
        <w:t>as</w:t>
      </w:r>
      <w:r>
        <w:rPr>
          <w:color w:val="6E6158"/>
          <w:spacing w:val="15"/>
        </w:rPr>
        <w:t> </w:t>
      </w:r>
      <w:r>
        <w:rPr>
          <w:color w:val="6E6158"/>
          <w:spacing w:val="-5"/>
        </w:rPr>
        <w:t>to</w:t>
      </w:r>
    </w:p>
    <w:p>
      <w:pPr>
        <w:pStyle w:val="BodyText"/>
        <w:spacing w:line="292" w:lineRule="auto" w:before="52"/>
      </w:pPr>
      <w:r>
        <w:rPr>
          <w:color w:val="6E6158"/>
        </w:rPr>
        <w:t>Nevada regulatory compliance matters for approval of secured transactions and advising as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process</w:t>
      </w:r>
      <w:r>
        <w:rPr>
          <w:color w:val="6E6158"/>
          <w:spacing w:val="36"/>
        </w:rPr>
        <w:t> </w:t>
      </w:r>
      <w:r>
        <w:rPr>
          <w:color w:val="6E6158"/>
        </w:rPr>
        <w:t>for</w:t>
      </w:r>
      <w:r>
        <w:rPr>
          <w:color w:val="6E6158"/>
          <w:spacing w:val="36"/>
        </w:rPr>
        <w:t> </w:t>
      </w:r>
      <w:r>
        <w:rPr>
          <w:color w:val="6E6158"/>
        </w:rPr>
        <w:t>compliant</w:t>
      </w:r>
      <w:r>
        <w:rPr>
          <w:color w:val="6E6158"/>
          <w:spacing w:val="36"/>
        </w:rPr>
        <w:t> </w:t>
      </w:r>
      <w:r>
        <w:rPr>
          <w:color w:val="6E6158"/>
        </w:rPr>
        <w:t>foreclosure</w:t>
      </w:r>
      <w:r>
        <w:rPr>
          <w:color w:val="6E6158"/>
          <w:spacing w:val="36"/>
        </w:rPr>
        <w:t> </w:t>
      </w:r>
      <w:r>
        <w:rPr>
          <w:color w:val="6E6158"/>
        </w:rPr>
        <w:t>if</w:t>
      </w:r>
      <w:r>
        <w:rPr>
          <w:color w:val="6E6158"/>
          <w:spacing w:val="36"/>
        </w:rPr>
        <w:t> </w:t>
      </w:r>
      <w:r>
        <w:rPr>
          <w:color w:val="6E6158"/>
        </w:rPr>
        <w:t>required</w:t>
      </w:r>
      <w:r>
        <w:rPr>
          <w:color w:val="6E6158"/>
          <w:spacing w:val="36"/>
        </w:rPr>
        <w:t> </w:t>
      </w:r>
      <w:r>
        <w:rPr>
          <w:color w:val="6E6158"/>
        </w:rPr>
        <w:t>to</w:t>
      </w:r>
      <w:r>
        <w:rPr>
          <w:color w:val="6E6158"/>
          <w:spacing w:val="36"/>
        </w:rPr>
        <w:t> </w:t>
      </w:r>
      <w:r>
        <w:rPr>
          <w:color w:val="6E6158"/>
        </w:rPr>
        <w:t>enforce</w:t>
      </w:r>
      <w:r>
        <w:rPr>
          <w:color w:val="6E6158"/>
          <w:spacing w:val="36"/>
        </w:rPr>
        <w:t> </w:t>
      </w:r>
      <w:r>
        <w:rPr>
          <w:color w:val="6E6158"/>
        </w:rPr>
        <w:t>commercial</w:t>
      </w:r>
      <w:r>
        <w:rPr>
          <w:color w:val="6E6158"/>
          <w:spacing w:val="36"/>
        </w:rPr>
        <w:t> </w:t>
      </w:r>
      <w:r>
        <w:rPr>
          <w:color w:val="6E6158"/>
        </w:rPr>
        <w:t>loan</w:t>
      </w:r>
      <w:r>
        <w:rPr>
          <w:color w:val="6E6158"/>
          <w:spacing w:val="36"/>
        </w:rPr>
        <w:t> </w:t>
      </w:r>
      <w:r>
        <w:rPr>
          <w:color w:val="6E6158"/>
        </w:rPr>
        <w:t>transaction.</w:t>
      </w:r>
    </w:p>
    <w:p>
      <w:pPr>
        <w:pStyle w:val="BodyText"/>
        <w:spacing w:line="292" w:lineRule="auto" w:before="131"/>
      </w:pPr>
      <w:r>
        <w:rPr>
          <w:color w:val="6E6158"/>
        </w:rPr>
        <w:t>Designated as an expert witness in multiple commercial litigation matters involving </w:t>
      </w:r>
      <w:r>
        <w:rPr>
          <w:color w:val="6E6158"/>
        </w:rPr>
        <w:t>cannabis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businesses.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Chambers</w:t>
      </w:r>
      <w:r>
        <w:rPr>
          <w:color w:val="6E6158"/>
          <w:spacing w:val="15"/>
        </w:rPr>
        <w:t> </w:t>
      </w:r>
      <w:r>
        <w:rPr>
          <w:color w:val="6E6158"/>
        </w:rPr>
        <w:t>USA,</w:t>
      </w:r>
      <w:r>
        <w:rPr>
          <w:color w:val="6E6158"/>
          <w:spacing w:val="15"/>
        </w:rPr>
        <w:t> </w:t>
      </w:r>
      <w:r>
        <w:rPr>
          <w:color w:val="6E6158"/>
        </w:rPr>
        <w:t>2023-2026,</w:t>
      </w:r>
      <w:r>
        <w:rPr>
          <w:color w:val="6E6158"/>
          <w:spacing w:val="15"/>
        </w:rPr>
        <w:t> </w:t>
      </w:r>
      <w:r>
        <w:rPr>
          <w:color w:val="6E6158"/>
        </w:rPr>
        <w:t>Band</w:t>
      </w:r>
      <w:r>
        <w:rPr>
          <w:color w:val="6E6158"/>
          <w:spacing w:val="15"/>
        </w:rPr>
        <w:t> </w:t>
      </w:r>
      <w:r>
        <w:rPr>
          <w:color w:val="6E6158"/>
          <w:spacing w:val="-10"/>
        </w:rPr>
        <w:t>3</w:t>
      </w:r>
    </w:p>
    <w:p>
      <w:pPr>
        <w:spacing w:before="167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Commercial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2021-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before="180"/>
      </w:pPr>
      <w:r>
        <w:rPr>
          <w:color w:val="6E6158"/>
        </w:rPr>
        <w:t>AV®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3"/>
        </w:rPr>
        <w:t> </w:t>
      </w:r>
      <w:r>
        <w:rPr>
          <w:color w:val="6E6158"/>
        </w:rPr>
        <w:t>Review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Judicial</w:t>
      </w:r>
      <w:r>
        <w:rPr>
          <w:color w:val="6E6158"/>
          <w:spacing w:val="13"/>
        </w:rPr>
        <w:t> </w:t>
      </w:r>
      <w:r>
        <w:rPr>
          <w:color w:val="6E6158"/>
        </w:rPr>
        <w:t>Rated,</w:t>
      </w:r>
      <w:r>
        <w:rPr>
          <w:color w:val="6E6158"/>
          <w:spacing w:val="13"/>
        </w:rPr>
        <w:t> </w:t>
      </w:r>
      <w:r>
        <w:rPr>
          <w:color w:val="6E6158"/>
        </w:rPr>
        <w:t>Martindale-Hubbell,</w:t>
      </w:r>
      <w:r>
        <w:rPr>
          <w:color w:val="6E6158"/>
          <w:spacing w:val="13"/>
        </w:rPr>
        <w:t> </w:t>
      </w:r>
      <w:r>
        <w:rPr>
          <w:color w:val="6E6158"/>
        </w:rPr>
        <w:t>2013-</w:t>
      </w:r>
      <w:r>
        <w:rPr>
          <w:color w:val="6E6158"/>
          <w:spacing w:val="-4"/>
        </w:rPr>
        <w:t>2026</w:t>
      </w:r>
    </w:p>
    <w:p>
      <w:pPr>
        <w:pStyle w:val="BodyText"/>
        <w:spacing w:before="174"/>
      </w:pPr>
      <w:r>
        <w:rPr>
          <w:color w:val="6E6158"/>
        </w:rPr>
        <w:t>Mountain</w:t>
      </w:r>
      <w:r>
        <w:rPr>
          <w:color w:val="6E6158"/>
          <w:spacing w:val="13"/>
        </w:rPr>
        <w:t> </w:t>
      </w:r>
      <w:r>
        <w:rPr>
          <w:color w:val="6E6158"/>
        </w:rPr>
        <w:t>States</w:t>
      </w:r>
      <w:r>
        <w:rPr>
          <w:color w:val="6E6158"/>
          <w:spacing w:val="14"/>
        </w:rPr>
        <w:t> </w:t>
      </w:r>
      <w:r>
        <w:rPr>
          <w:color w:val="6E6158"/>
        </w:rPr>
        <w:t>Super</w:t>
      </w:r>
      <w:r>
        <w:rPr>
          <w:color w:val="6E6158"/>
          <w:spacing w:val="14"/>
        </w:rPr>
        <w:t> </w:t>
      </w:r>
      <w:r>
        <w:rPr>
          <w:color w:val="6E6158"/>
        </w:rPr>
        <w:t>Lawyers®,</w:t>
      </w:r>
      <w:r>
        <w:rPr>
          <w:color w:val="6E6158"/>
          <w:spacing w:val="14"/>
        </w:rPr>
        <w:t> </w:t>
      </w:r>
      <w:r>
        <w:rPr>
          <w:color w:val="6E6158"/>
        </w:rPr>
        <w:t>Top</w:t>
      </w:r>
      <w:r>
        <w:rPr>
          <w:color w:val="6E6158"/>
          <w:spacing w:val="14"/>
        </w:rPr>
        <w:t> </w:t>
      </w:r>
      <w:r>
        <w:rPr>
          <w:color w:val="6E6158"/>
        </w:rPr>
        <w:t>Rated</w:t>
      </w:r>
      <w:r>
        <w:rPr>
          <w:color w:val="6E6158"/>
          <w:spacing w:val="14"/>
        </w:rPr>
        <w:t> </w:t>
      </w:r>
      <w:r>
        <w:rPr>
          <w:color w:val="6E6158"/>
        </w:rPr>
        <w:t>Business</w:t>
      </w:r>
      <w:r>
        <w:rPr>
          <w:color w:val="6E6158"/>
          <w:spacing w:val="14"/>
        </w:rPr>
        <w:t> </w:t>
      </w:r>
      <w:r>
        <w:rPr>
          <w:color w:val="6E6158"/>
        </w:rPr>
        <w:t>&amp;</w:t>
      </w:r>
      <w:r>
        <w:rPr>
          <w:color w:val="6E6158"/>
          <w:spacing w:val="14"/>
        </w:rPr>
        <w:t> </w:t>
      </w:r>
      <w:r>
        <w:rPr>
          <w:color w:val="6E6158"/>
        </w:rPr>
        <w:t>Corporate</w:t>
      </w:r>
      <w:r>
        <w:rPr>
          <w:color w:val="6E6158"/>
          <w:spacing w:val="14"/>
        </w:rPr>
        <w:t> </w:t>
      </w:r>
      <w:r>
        <w:rPr>
          <w:color w:val="6E6158"/>
        </w:rPr>
        <w:t>Attorney,</w:t>
      </w:r>
      <w:r>
        <w:rPr>
          <w:color w:val="6E6158"/>
          <w:spacing w:val="14"/>
        </w:rPr>
        <w:t> </w:t>
      </w:r>
      <w:r>
        <w:rPr>
          <w:color w:val="6E6158"/>
        </w:rPr>
        <w:t>2019,</w:t>
      </w:r>
      <w:r>
        <w:rPr>
          <w:color w:val="6E6158"/>
          <w:spacing w:val="14"/>
        </w:rPr>
        <w:t> </w:t>
      </w:r>
      <w:r>
        <w:rPr>
          <w:color w:val="6E6158"/>
        </w:rPr>
        <w:t>2024-</w:t>
      </w:r>
      <w:r>
        <w:rPr>
          <w:color w:val="6E6158"/>
          <w:spacing w:val="-4"/>
        </w:rPr>
        <w:t>2026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14th</w:t>
      </w:r>
      <w:r>
        <w:rPr>
          <w:color w:val="6E6158"/>
          <w:spacing w:val="10"/>
        </w:rPr>
        <w:t> </w:t>
      </w:r>
      <w:r>
        <w:rPr>
          <w:color w:val="6E6158"/>
        </w:rPr>
        <w:t>Annual</w:t>
      </w:r>
      <w:r>
        <w:rPr>
          <w:color w:val="6E6158"/>
          <w:spacing w:val="10"/>
        </w:rPr>
        <w:t> </w:t>
      </w:r>
      <w:r>
        <w:rPr>
          <w:color w:val="6E6158"/>
        </w:rPr>
        <w:t>International</w:t>
      </w:r>
      <w:r>
        <w:rPr>
          <w:color w:val="6E6158"/>
          <w:spacing w:val="10"/>
        </w:rPr>
        <w:t> </w:t>
      </w:r>
      <w:r>
        <w:rPr>
          <w:color w:val="6E6158"/>
        </w:rPr>
        <w:t>M&amp;A</w:t>
      </w:r>
      <w:r>
        <w:rPr>
          <w:color w:val="6E6158"/>
          <w:spacing w:val="11"/>
        </w:rPr>
        <w:t> </w:t>
      </w:r>
      <w:r>
        <w:rPr>
          <w:color w:val="6E6158"/>
        </w:rPr>
        <w:t>Awards,</w:t>
      </w:r>
      <w:r>
        <w:rPr>
          <w:color w:val="6E6158"/>
          <w:spacing w:val="10"/>
        </w:rPr>
        <w:t> </w:t>
      </w:r>
      <w:r>
        <w:rPr>
          <w:color w:val="6E6158"/>
        </w:rPr>
        <w:t>Winner</w:t>
      </w:r>
      <w:r>
        <w:rPr>
          <w:color w:val="6E6158"/>
          <w:spacing w:val="10"/>
        </w:rPr>
        <w:t> </w:t>
      </w:r>
      <w:r>
        <w:rPr>
          <w:color w:val="6E6158"/>
        </w:rPr>
        <w:t>Consumer</w:t>
      </w:r>
      <w:r>
        <w:rPr>
          <w:color w:val="6E6158"/>
          <w:spacing w:val="11"/>
        </w:rPr>
        <w:t> </w:t>
      </w:r>
      <w:r>
        <w:rPr>
          <w:color w:val="6E6158"/>
        </w:rPr>
        <w:t>Staples</w:t>
      </w:r>
      <w:r>
        <w:rPr>
          <w:color w:val="6E6158"/>
          <w:spacing w:val="10"/>
        </w:rPr>
        <w:t> </w:t>
      </w:r>
      <w:r>
        <w:rPr>
          <w:color w:val="6E6158"/>
        </w:rPr>
        <w:t>Deal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Year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under</w:t>
      </w:r>
    </w:p>
    <w:p>
      <w:pPr>
        <w:pStyle w:val="BodyText"/>
        <w:spacing w:line="302" w:lineRule="auto" w:before="52"/>
      </w:pPr>
      <w:r>
        <w:rPr>
          <w:color w:val="6E6158"/>
        </w:rPr>
        <w:t>$100MM (2023); 21st Annual M&amp;A Advisor Awards, Finalist for Consumer Staples Deal of the Year between $10MM – $100MM (2022)</w:t>
      </w:r>
    </w:p>
    <w:p>
      <w:pPr>
        <w:pStyle w:val="BodyText"/>
        <w:spacing w:line="420" w:lineRule="auto" w:before="113"/>
        <w:ind w:right="358"/>
      </w:pPr>
      <w:r>
        <w:rPr>
          <w:color w:val="6E6158"/>
        </w:rPr>
        <w:t>Nevada Business Magazine’s “Top Rank Attorneys” (Formerly “Legal Elite”), 2013, 2020, </w:t>
      </w:r>
      <w:r>
        <w:rPr>
          <w:color w:val="6E6158"/>
        </w:rPr>
        <w:t>2023</w:t>
      </w:r>
      <w:r>
        <w:rPr>
          <w:color w:val="6E6158"/>
          <w:spacing w:val="40"/>
        </w:rPr>
        <w:t> </w:t>
      </w:r>
      <w:r>
        <w:rPr>
          <w:color w:val="6E6158"/>
        </w:rPr>
        <w:t>Mountain States Super Lawyers® Rising Star, 2008</w:t>
      </w:r>
    </w:p>
    <w:p>
      <w:pPr>
        <w:pStyle w:val="Heading1"/>
        <w:spacing w:before="28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/>
      </w:pPr>
      <w:r>
        <w:rPr>
          <w:color w:val="6E6158"/>
        </w:rPr>
        <w:t>Event Conference Host, Moderator, and Presenter, State Bar of Nevada, Cannabis Law Section, Annual Cannabis Law Conference, 2022 – 2026</w:t>
      </w:r>
    </w:p>
    <w:p>
      <w:pPr>
        <w:pStyle w:val="BodyText"/>
        <w:spacing w:line="292" w:lineRule="auto" w:before="113"/>
        <w:ind w:right="497"/>
      </w:pPr>
      <w:r>
        <w:rPr>
          <w:color w:val="6E6158"/>
        </w:rPr>
        <w:t>Co-Author, “If Cannabis Is Rescheduled…Then What?” Nevada Business Magazine, </w:t>
      </w:r>
      <w:r>
        <w:rPr>
          <w:color w:val="6E6158"/>
        </w:rPr>
        <w:t>October </w:t>
      </w:r>
      <w:r>
        <w:rPr>
          <w:color w:val="6E6158"/>
          <w:spacing w:val="-4"/>
        </w:rPr>
        <w:t>2024</w:t>
      </w:r>
    </w:p>
    <w:p>
      <w:pPr>
        <w:pStyle w:val="BodyText"/>
        <w:spacing w:line="427" w:lineRule="auto" w:before="123"/>
        <w:ind w:right="497"/>
      </w:pPr>
      <w:r>
        <w:rPr>
          <w:color w:val="6E6158"/>
        </w:rPr>
        <w:t>Author, “Intellectual Property Protection in the Cannabis Industry,” Nevada Lawyer, April </w:t>
      </w:r>
      <w:r>
        <w:rPr>
          <w:color w:val="6E6158"/>
        </w:rPr>
        <w:t>2024 Co-Author, “Lights, Camera, Regulatory Action,” The Secured Lender, November 2023</w:t>
      </w:r>
    </w:p>
    <w:p>
      <w:pPr>
        <w:pStyle w:val="BodyText"/>
        <w:spacing w:line="292" w:lineRule="auto"/>
        <w:ind w:right="358"/>
      </w:pPr>
      <w:r>
        <w:rPr>
          <w:color w:val="6E6158"/>
        </w:rPr>
        <w:t>Co-Presenter, “Crafting a Winning License Application,” International Cannabis Bar </w:t>
      </w:r>
      <w:r>
        <w:rPr>
          <w:color w:val="6E6158"/>
        </w:rPr>
        <w:t>Association, Law Sessions, MJBizCon, November 2023</w:t>
      </w:r>
    </w:p>
    <w:p>
      <w:pPr>
        <w:pStyle w:val="BodyText"/>
        <w:spacing w:line="292" w:lineRule="auto" w:before="124"/>
        <w:ind w:right="497"/>
      </w:pPr>
      <w:r>
        <w:rPr>
          <w:color w:val="6E6158"/>
        </w:rPr>
        <w:t>Co-Author, “A New Day for the Cannabis Nevada Industry—Legislative Review,” </w:t>
      </w:r>
      <w:r>
        <w:rPr>
          <w:color w:val="6E6158"/>
        </w:rPr>
        <w:t>Nevada Business Magazine, October 2023</w:t>
      </w:r>
    </w:p>
    <w:p>
      <w:pPr>
        <w:pStyle w:val="BodyText"/>
        <w:spacing w:line="292" w:lineRule="auto" w:before="124"/>
      </w:pPr>
      <w:r>
        <w:rPr>
          <w:color w:val="6E6158"/>
        </w:rPr>
        <w:t>Author, “The Importance of the Administrative Procedures Act and the Hidden Dangers </w:t>
      </w:r>
      <w:r>
        <w:rPr>
          <w:color w:val="6E6158"/>
        </w:rPr>
        <w:t>of Exemption,” Nevada Lawyer, May 2021</w:t>
      </w:r>
    </w:p>
    <w:p>
      <w:pPr>
        <w:pStyle w:val="BodyText"/>
        <w:spacing w:line="292" w:lineRule="auto" w:before="131"/>
        <w:ind w:right="358"/>
      </w:pPr>
      <w:r>
        <w:rPr>
          <w:color w:val="6E6158"/>
        </w:rPr>
        <w:t>Co-Author, “Is This the Year Congress Legalizes Cannabis,” Nevada Business Magazine, </w:t>
      </w:r>
      <w:r>
        <w:rPr>
          <w:color w:val="6E6158"/>
        </w:rPr>
        <w:t>October </w:t>
      </w:r>
      <w:r>
        <w:rPr>
          <w:color w:val="6E6158"/>
          <w:spacing w:val="-4"/>
        </w:rPr>
        <w:t>2021</w:t>
      </w:r>
    </w:p>
    <w:p>
      <w:pPr>
        <w:pStyle w:val="BodyText"/>
        <w:spacing w:line="292" w:lineRule="auto" w:before="123"/>
      </w:pPr>
      <w:r>
        <w:rPr>
          <w:color w:val="6E6158"/>
        </w:rPr>
        <w:t>Co-Author, “New Statutes and Regulations Bring a World of Change to Nevada </w:t>
      </w:r>
      <w:r>
        <w:rPr>
          <w:color w:val="6E6158"/>
        </w:rPr>
        <w:t>Cannabis Compliance,” Nevada Business Magazine, October 2020</w:t>
      </w:r>
    </w:p>
    <w:p>
      <w:pPr>
        <w:pStyle w:val="BodyText"/>
        <w:spacing w:line="420" w:lineRule="auto" w:before="132"/>
        <w:ind w:right="716"/>
      </w:pPr>
      <w:r>
        <w:rPr>
          <w:color w:val="6E6158"/>
        </w:rPr>
        <w:t>Presenter, International Cannabis Bar Association, Law Sessions, MJBizCon, December </w:t>
      </w:r>
      <w:r>
        <w:rPr>
          <w:color w:val="6E6158"/>
        </w:rPr>
        <w:t>2019 Co-Presenter, ABA Forum on the Sports and Entertainment Industries, October 2019</w:t>
      </w:r>
      <w:r>
        <w:rPr>
          <w:color w:val="6E6158"/>
          <w:spacing w:val="80"/>
        </w:rPr>
        <w:t> </w:t>
      </w:r>
      <w:r>
        <w:rPr>
          <w:color w:val="6E6158"/>
        </w:rPr>
        <w:t>Presenter, National Cannabis Industry Association, Business Summit &amp; Expo, July 2019 Presenter, The Business of Marijuana in Nevada, The Seminar Group, July 2019</w:t>
      </w:r>
    </w:p>
    <w:p>
      <w:pPr>
        <w:pStyle w:val="BodyText"/>
        <w:spacing w:before="5"/>
      </w:pPr>
      <w:r>
        <w:rPr>
          <w:color w:val="6E6158"/>
        </w:rPr>
        <w:t>Presenter,</w:t>
      </w:r>
      <w:r>
        <w:rPr>
          <w:color w:val="6E6158"/>
          <w:spacing w:val="10"/>
        </w:rPr>
        <w:t> </w:t>
      </w:r>
      <w:r>
        <w:rPr>
          <w:color w:val="6E6158"/>
        </w:rPr>
        <w:t>Marijuana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Nevada,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Seminar</w:t>
      </w:r>
      <w:r>
        <w:rPr>
          <w:color w:val="6E6158"/>
          <w:spacing w:val="10"/>
        </w:rPr>
        <w:t> </w:t>
      </w:r>
      <w:r>
        <w:rPr>
          <w:color w:val="6E6158"/>
        </w:rPr>
        <w:t>Group,</w:t>
      </w:r>
      <w:r>
        <w:rPr>
          <w:color w:val="6E6158"/>
          <w:spacing w:val="10"/>
        </w:rPr>
        <w:t> </w:t>
      </w:r>
      <w:r>
        <w:rPr>
          <w:color w:val="6E6158"/>
        </w:rPr>
        <w:t>July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line="292" w:lineRule="auto" w:before="174"/>
        <w:ind w:right="183"/>
      </w:pPr>
      <w:r>
        <w:rPr>
          <w:color w:val="6E6158"/>
        </w:rPr>
        <w:t>Co-Author, “Nevada’s Gaming Past Illuminates the Marijuana Industry’s Future,” Nevada </w:t>
      </w:r>
      <w:r>
        <w:rPr>
          <w:color w:val="6E6158"/>
        </w:rPr>
        <w:t>Business Magazine, October 2017</w:t>
      </w:r>
    </w:p>
    <w:p>
      <w:pPr>
        <w:pStyle w:val="BodyText"/>
        <w:spacing w:before="131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Medical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Recreational</w:t>
      </w:r>
      <w:r>
        <w:rPr>
          <w:color w:val="6E6158"/>
          <w:spacing w:val="12"/>
        </w:rPr>
        <w:t> </w:t>
      </w:r>
      <w:r>
        <w:rPr>
          <w:color w:val="6E6158"/>
        </w:rPr>
        <w:t>Marijuana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Nevada,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Seminar</w:t>
      </w:r>
      <w:r>
        <w:rPr>
          <w:color w:val="6E6158"/>
          <w:spacing w:val="12"/>
        </w:rPr>
        <w:t> </w:t>
      </w:r>
      <w:r>
        <w:rPr>
          <w:color w:val="6E6158"/>
        </w:rPr>
        <w:t>Group,</w:t>
      </w:r>
      <w:r>
        <w:rPr>
          <w:color w:val="6E6158"/>
          <w:spacing w:val="12"/>
        </w:rPr>
        <w:t> </w:t>
      </w:r>
      <w:r>
        <w:rPr>
          <w:color w:val="6E6158"/>
        </w:rPr>
        <w:t>July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292" w:lineRule="auto" w:before="174"/>
        <w:ind w:right="358"/>
      </w:pPr>
      <w:r>
        <w:rPr>
          <w:color w:val="6E6158"/>
        </w:rPr>
        <w:t>Co-Author, “Compliance Is Key in the Marijuana Industry,” Nevada Business Magazine, </w:t>
      </w:r>
      <w:r>
        <w:rPr>
          <w:color w:val="6E6158"/>
        </w:rPr>
        <w:t>October </w:t>
      </w:r>
      <w:r>
        <w:rPr>
          <w:color w:val="6E6158"/>
          <w:spacing w:val="-4"/>
        </w:rPr>
        <w:t>2016</w:t>
      </w:r>
    </w:p>
    <w:p>
      <w:pPr>
        <w:pStyle w:val="BodyText"/>
        <w:spacing w:line="302" w:lineRule="auto" w:before="123"/>
        <w:ind w:right="358"/>
      </w:pPr>
      <w:r>
        <w:rPr>
          <w:color w:val="6E6158"/>
        </w:rPr>
        <w:t>Author, “A Brief Summary of the Nevada Administrative Procedure Act,” Nevada </w:t>
      </w:r>
      <w:r>
        <w:rPr>
          <w:color w:val="6E6158"/>
        </w:rPr>
        <w:t>Lawyer Magazine, April 2011</w:t>
      </w:r>
    </w:p>
    <w:p>
      <w:pPr>
        <w:pStyle w:val="BodyText"/>
        <w:spacing w:before="10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Chair,</w:t>
      </w:r>
      <w:r>
        <w:rPr>
          <w:color w:val="6E6158"/>
          <w:spacing w:val="8"/>
        </w:rPr>
        <w:t> </w:t>
      </w:r>
      <w:r>
        <w:rPr>
          <w:color w:val="6E6158"/>
        </w:rPr>
        <w:t>State</w:t>
      </w:r>
      <w:r>
        <w:rPr>
          <w:color w:val="6E6158"/>
          <w:spacing w:val="9"/>
        </w:rPr>
        <w:t> </w:t>
      </w:r>
      <w:r>
        <w:rPr>
          <w:color w:val="6E6158"/>
        </w:rPr>
        <w:t>Bar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Nevada,</w:t>
      </w:r>
      <w:r>
        <w:rPr>
          <w:color w:val="6E6158"/>
          <w:spacing w:val="8"/>
        </w:rPr>
        <w:t> </w:t>
      </w:r>
      <w:r>
        <w:rPr>
          <w:color w:val="6E6158"/>
        </w:rPr>
        <w:t>Cannabis</w:t>
      </w:r>
      <w:r>
        <w:rPr>
          <w:color w:val="6E6158"/>
          <w:spacing w:val="9"/>
        </w:rPr>
        <w:t> </w:t>
      </w:r>
      <w:r>
        <w:rPr>
          <w:color w:val="6E6158"/>
        </w:rPr>
        <w:t>Law</w:t>
      </w:r>
      <w:r>
        <w:rPr>
          <w:color w:val="6E6158"/>
          <w:spacing w:val="8"/>
        </w:rPr>
        <w:t> </w:t>
      </w:r>
      <w:r>
        <w:rPr>
          <w:color w:val="6E6158"/>
        </w:rPr>
        <w:t>Section,</w:t>
      </w:r>
      <w:r>
        <w:rPr>
          <w:color w:val="6E6158"/>
          <w:spacing w:val="9"/>
        </w:rPr>
        <w:t> </w:t>
      </w:r>
      <w:r>
        <w:rPr>
          <w:color w:val="6E6158"/>
        </w:rPr>
        <w:t>2019</w:t>
      </w:r>
      <w:r>
        <w:rPr>
          <w:color w:val="6E6158"/>
          <w:spacing w:val="9"/>
        </w:rPr>
        <w:t> </w:t>
      </w:r>
      <w:r>
        <w:rPr>
          <w:color w:val="6E6158"/>
        </w:rPr>
        <w:t>–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present</w:t>
      </w:r>
    </w:p>
    <w:p>
      <w:pPr>
        <w:pStyle w:val="BodyText"/>
        <w:spacing w:before="174"/>
      </w:pPr>
      <w:r>
        <w:rPr>
          <w:color w:val="6E6158"/>
        </w:rPr>
        <w:t>Chair,</w:t>
      </w:r>
      <w:r>
        <w:rPr>
          <w:color w:val="6E6158"/>
          <w:spacing w:val="9"/>
        </w:rPr>
        <w:t> </w:t>
      </w:r>
      <w:r>
        <w:rPr>
          <w:color w:val="6E6158"/>
        </w:rPr>
        <w:t>State</w:t>
      </w:r>
      <w:r>
        <w:rPr>
          <w:color w:val="6E6158"/>
          <w:spacing w:val="9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Nevada,</w:t>
      </w:r>
      <w:r>
        <w:rPr>
          <w:color w:val="6E6158"/>
          <w:spacing w:val="10"/>
        </w:rPr>
        <w:t> </w:t>
      </w:r>
      <w:r>
        <w:rPr>
          <w:color w:val="6E6158"/>
        </w:rPr>
        <w:t>Administrative</w:t>
      </w:r>
      <w:r>
        <w:rPr>
          <w:color w:val="6E6158"/>
          <w:spacing w:val="9"/>
        </w:rPr>
        <w:t> </w:t>
      </w:r>
      <w:r>
        <w:rPr>
          <w:color w:val="6E6158"/>
        </w:rPr>
        <w:t>Law</w:t>
      </w:r>
      <w:r>
        <w:rPr>
          <w:color w:val="6E6158"/>
          <w:spacing w:val="10"/>
        </w:rPr>
        <w:t> </w:t>
      </w:r>
      <w:r>
        <w:rPr>
          <w:color w:val="6E6158"/>
        </w:rPr>
        <w:t>Section,</w:t>
      </w:r>
      <w:r>
        <w:rPr>
          <w:color w:val="6E6158"/>
          <w:spacing w:val="9"/>
        </w:rPr>
        <w:t> </w:t>
      </w:r>
      <w:r>
        <w:rPr>
          <w:color w:val="6E6158"/>
        </w:rPr>
        <w:t>2008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9"/>
        </w:rPr>
        <w:t> </w:t>
      </w:r>
      <w:r>
        <w:rPr>
          <w:color w:val="6E6158"/>
        </w:rPr>
        <w:t>2011,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2013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420" w:lineRule="auto" w:before="83"/>
        <w:ind w:right="3305"/>
      </w:pPr>
      <w:r>
        <w:rPr>
          <w:color w:val="6E6158"/>
        </w:rPr>
        <w:t>Lifetime Member, International Cannabis Bar </w:t>
      </w:r>
      <w:r>
        <w:rPr>
          <w:color w:val="6E6158"/>
        </w:rPr>
        <w:t>Association Advisory Board, Honor Flight Southern Nevada</w:t>
      </w:r>
    </w:p>
    <w:p>
      <w:pPr>
        <w:spacing w:line="278" w:lineRule="auto" w:before="0"/>
        <w:ind w:left="99" w:right="358" w:firstLine="0"/>
        <w:jc w:val="left"/>
        <w:rPr>
          <w:sz w:val="19"/>
        </w:rPr>
      </w:pPr>
      <w:r>
        <w:rPr>
          <w:color w:val="6E6158"/>
          <w:sz w:val="19"/>
        </w:rPr>
        <w:t>Instructor, University of Nevada Las Vegas (UNLV) Honors College, </w:t>
      </w:r>
      <w:r>
        <w:rPr>
          <w:i/>
          <w:color w:val="6E6158"/>
          <w:sz w:val="20"/>
        </w:rPr>
        <w:t>Cannabis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Policy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and</w:t>
      </w:r>
      <w:r>
        <w:rPr>
          <w:i/>
          <w:color w:val="6E6158"/>
          <w:sz w:val="20"/>
        </w:rPr>
        <w:t> Society </w:t>
      </w:r>
      <w:r>
        <w:rPr>
          <w:color w:val="6E6158"/>
          <w:sz w:val="19"/>
        </w:rPr>
        <w:t>(Fall 2026)</w:t>
      </w:r>
    </w:p>
    <w:p>
      <w:pPr>
        <w:pStyle w:val="BodyText"/>
        <w:spacing w:before="119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Nevada</w:t>
      </w:r>
    </w:p>
    <w:p>
      <w:pPr>
        <w:pStyle w:val="BodyText"/>
        <w:spacing w:line="427" w:lineRule="auto" w:before="174"/>
        <w:ind w:right="7139"/>
      </w:pPr>
      <w:r>
        <w:rPr>
          <w:color w:val="6E6158"/>
        </w:rPr>
        <w:t>District of </w:t>
      </w:r>
      <w:r>
        <w:rPr>
          <w:color w:val="6E6158"/>
        </w:rPr>
        <w:t>Columbia </w:t>
      </w:r>
      <w:r>
        <w:rPr>
          <w:color w:val="6E6158"/>
          <w:spacing w:val="-2"/>
        </w:rPr>
        <w:t>Virginia</w:t>
      </w:r>
    </w:p>
    <w:p>
      <w:pPr>
        <w:pStyle w:val="BodyText"/>
        <w:spacing w:line="226" w:lineRule="exact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Court,</w:t>
      </w:r>
      <w:r>
        <w:rPr>
          <w:color w:val="6E6158"/>
          <w:spacing w:val="9"/>
        </w:rPr>
        <w:t> </w:t>
      </w:r>
      <w:r>
        <w:rPr>
          <w:color w:val="6E6158"/>
        </w:rPr>
        <w:t>Dist.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8"/>
        </w:rPr>
        <w:t> </w:t>
      </w:r>
      <w:r>
        <w:rPr>
          <w:color w:val="6E6158"/>
        </w:rPr>
        <w:t>Court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Appeals</w:t>
      </w:r>
      <w:r>
        <w:rPr>
          <w:color w:val="6E6158"/>
          <w:spacing w:val="8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8"/>
        </w:rPr>
        <w:t> </w:t>
      </w:r>
      <w:r>
        <w:rPr>
          <w:color w:val="6E6158"/>
        </w:rPr>
        <w:t>9th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Bankruptcy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1"/>
        </w:rPr>
        <w:t> </w:t>
      </w:r>
      <w:r>
        <w:rPr>
          <w:color w:val="6E6158"/>
        </w:rPr>
        <w:t>Dist.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Nevada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las-vegas/" TargetMode="External"/><Relationship Id="rId10" Type="http://schemas.openxmlformats.org/officeDocument/2006/relationships/hyperlink" Target="mailto:aashcraft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Alicia Ashcraft - Fennemore</dc:title>
  <dcterms:created xsi:type="dcterms:W3CDTF">2026-11-04T16:56:38Z</dcterms:created>
  <dcterms:modified xsi:type="dcterms:W3CDTF">2026-11-04T16:56:38Z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2026-11-04T00:00:00Z</vt:filetime>
  </property>
  <property fmtid="{D5CDD505-2E9C-101B-9397-08002B2CF9AE}" pid="4" name="Creator">
    <vt:lpwstr>Mozilla/5.0 (X11; Linux x86_64) AppleWebKit/537.36 (KHTML, like Gecko) HeadlessChrome/156.0.0.0 Safari/537.36</vt:lpwstr>
  </property>
  <property fmtid="{D5CDD505-2E9C-101B-9397-08002B2CF9AE}" pid="5" name="LastSaved">
    <vt:filetime>2026-11-04T00:00:00Z</vt:filetime>
  </property>
  <property fmtid="{D5CDD505-2E9C-101B-9397-08002B2CF9AE}" pid="6" name="Producer">
    <vt:lpwstr>Skia/PDF m156</vt:lpwstr>
  </property>
</Properties>
</file>